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31333.xml.htm"/>
      <w:bookmarkStart w:id="1" w:name="kswkform4_17925313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Martens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4491 CONCESSION RD 12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STAYNER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L0M 1S0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Cronos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Manager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46,875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46,875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46,875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common share of Cronos Group Inc.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October 16, 2026, the reporting person was granted 46,875 RSUs, vesting in three substantially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Morgan, as attorney-in-fact for Christopher Martens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60652" TargetMode="External"/><Relationship Id="rId5" Type="http://schemas.openxmlformats.org/officeDocument/2006/relationships/hyperlink" Target="http://www.sec.gov/cgi-bin/browse-edgar?action=getcompany&amp;CIK=0001656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3391</Characters>
  <CharactersWithSpaces>3939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