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3"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29" w:after="283"/>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9" w:after="283"/>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95"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97"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16"/>
        </w:rPr>
        <w:t>September 8,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CRONOS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75" w:type="dxa"/>
        <w:jc w:val="center"/>
        <w:tblInd w:w="0" w:type="dxa"/>
        <w:tblLayout w:type="fixed"/>
        <w:tblCellMar>
          <w:top w:w="28" w:type="dxa"/>
          <w:left w:w="28" w:type="dxa"/>
          <w:bottom w:w="28" w:type="dxa"/>
          <w:right w:w="28" w:type="dxa"/>
        </w:tblCellMar>
      </w:tblPr>
      <w:tblGrid>
        <w:gridCol w:w="847"/>
        <w:gridCol w:w="744"/>
        <w:gridCol w:w="749"/>
        <w:gridCol w:w="394"/>
        <w:gridCol w:w="394"/>
        <w:gridCol w:w="398"/>
        <w:gridCol w:w="483"/>
        <w:gridCol w:w="483"/>
        <w:gridCol w:w="683"/>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1186"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001-38403</w:t>
            </w:r>
          </w:p>
        </w:tc>
        <w:tc>
          <w:tcPr>
            <w:tcW w:w="1649"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180"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4491 Concession Rd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Stayner,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L0M 1S0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9"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(416) 504-0004</w:t>
      </w:r>
    </w:p>
    <w:p>
      <w:pPr>
        <w:pStyle w:val="TextBody"/>
        <w:bidi w:val="0"/>
        <w:spacing w:before="0" w:after="0"/>
        <w:jc w:val="center"/>
        <w:rPr/>
      </w:pPr>
      <w:r>
        <w:rPr/>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987" w:type="dxa"/>
        <w:jc w:val="left"/>
        <w:tblInd w:w="0" w:type="dxa"/>
        <w:tblLayout w:type="fixed"/>
        <w:tblCellMar>
          <w:top w:w="28" w:type="dxa"/>
          <w:left w:w="28" w:type="dxa"/>
          <w:bottom w:w="28" w:type="dxa"/>
          <w:right w:w="28" w:type="dxa"/>
        </w:tblCellMar>
      </w:tblPr>
      <w:tblGrid>
        <w:gridCol w:w="816"/>
        <w:gridCol w:w="719"/>
        <w:gridCol w:w="729"/>
        <w:gridCol w:w="484"/>
        <w:gridCol w:w="484"/>
        <w:gridCol w:w="486"/>
        <w:gridCol w:w="956"/>
        <w:gridCol w:w="956"/>
        <w:gridCol w:w="1357"/>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Times New Roman;serif" w:hAnsi="Times New Roman;serif"/>
                <w:b w:val="false"/>
                <w:color w:val="231F20"/>
                <w:sz w:val="18"/>
              </w:rPr>
            </w:pPr>
            <w:r>
              <w:rPr>
                <w:rFonts w:ascii="Times New Roman;serif" w:hAnsi="Times New Roman;serif"/>
                <w:b w:val="false"/>
                <w:color w:val="231F20"/>
                <w:sz w:val="18"/>
              </w:rPr>
              <w:t>Name of each exchange on which registered</w:t>
            </w:r>
          </w:p>
        </w:tc>
      </w:tr>
      <w:tr>
        <w:trPr/>
        <w:tc>
          <w:tcPr>
            <w:tcW w:w="22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no par value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CRON</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231F20"/>
          <w:sz w:val="16"/>
        </w:rPr>
      </w:pPr>
      <w:r>
        <w:rPr>
          <w:rFonts w:ascii="Times New Roman;serif" w:hAnsi="Times New Roman;serif"/>
          <w:b w:val="false"/>
          <w:color w:val="231F2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16"/>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left"/>
        <w:rPr>
          <w:rFonts w:ascii="Times New Roman;serif" w:hAnsi="Times New Roman;serif"/>
          <w:b w:val="false"/>
          <w:color w:val="231F20"/>
          <w:sz w:val="16"/>
        </w:rPr>
      </w:pPr>
      <w:r>
        <w:rPr>
          <w:rFonts w:ascii="Times New Roman;serif" w:hAnsi="Times New Roman;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On September 8, 2026, Cronos Group Inc. (the “Company”), its indirect wholly owned subsidiary, CGM B.V. (the “Purchaser”), “Ring” International Holding AG (“Ring”), and Landewyck Tobacco S.A. (“Landewyck,” and together with Ring, the “Sellers”) entered into an amendment (the “Second SPA Amendment”) to the Share Sale and Purchase Agreement, dated December 9, 2025 (as amended, the “SPA”), relating to the acquisition by the Purchaser of all of the issued and outstanding shares of CanAdelaar B.V., a private company with limited liability (“CanAdelaar”), one of ten licensed cannabis growers in the Dutch Controlled Cannabis Supply Chain Experiment.</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The Second SPA Amendment extends the Long Stop Date (as defined in the SPA) from September 9, 2026 to October 15, 2026.</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Except as expressly amended by the Second SPA Amendment, the SPA remains in full force and effect in accordance with its terms.</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Second SPA Amendment does not purport to be complete and is qualified in its entirety by reference to the full text of the Second SPA Amendment, which is filed as Exhibit 2.1 to this Current Report on Form 8-K and is incorporated herein by reference.</w:t>
      </w:r>
    </w:p>
    <w:p>
      <w:pPr>
        <w:pStyle w:val="TextBody"/>
        <w:bidi w:val="0"/>
        <w:spacing w:before="0" w:after="0"/>
        <w:jc w:val="left"/>
        <w:rPr/>
      </w:pPr>
      <w:r>
        <w:rPr/>
      </w:r>
    </w:p>
    <w:p>
      <w:pPr>
        <w:pStyle w:val="TextBody"/>
        <w:bidi w:val="0"/>
        <w:spacing w:lineRule="auto" w:line="276"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67" w:after="283"/>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26"/>
        <w:gridCol w:w="287"/>
        <w:gridCol w:w="289"/>
        <w:gridCol w:w="109"/>
        <w:gridCol w:w="109"/>
        <w:gridCol w:w="109"/>
        <w:gridCol w:w="2628"/>
        <w:gridCol w:w="2628"/>
        <w:gridCol w:w="3720"/>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exhibit21-spasecondamendme.htm">
              <w:r>
                <w:rPr>
                  <w:rStyle w:val="InternetLink"/>
                  <w:rFonts w:ascii="Times New Roman;serif" w:hAnsi="Times New Roman;serif"/>
                  <w:b w:val="false"/>
                  <w:color w:val="0000FF"/>
                  <w:sz w:val="20"/>
                  <w:u w:val="single"/>
                </w:rPr>
                <w:t>Second Agreement to Amend the Share Purchase Agreement, dated as of September 8, 2026, by and among Cronos Group Inc., CGM B.V., “Ring” International Holding AG and Landewyck Tobacco S.A.</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Cronos Group Inc.’s Current Report on Form 8-K filed on September 11, 2026 is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7"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9" w:after="283"/>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242" w:type="dxa"/>
        <w:jc w:val="left"/>
        <w:tblInd w:w="0" w:type="dxa"/>
        <w:tblLayout w:type="fixed"/>
        <w:tblCellMar>
          <w:top w:w="28" w:type="dxa"/>
          <w:left w:w="28" w:type="dxa"/>
          <w:bottom w:w="28" w:type="dxa"/>
          <w:right w:w="28" w:type="dxa"/>
        </w:tblCellMar>
      </w:tblPr>
      <w:tblGrid>
        <w:gridCol w:w="803"/>
        <w:gridCol w:w="705"/>
        <w:gridCol w:w="712"/>
        <w:gridCol w:w="109"/>
        <w:gridCol w:w="109"/>
        <w:gridCol w:w="109"/>
        <w:gridCol w:w="330"/>
        <w:gridCol w:w="330"/>
        <w:gridCol w:w="330"/>
        <w:gridCol w:w="1074"/>
        <w:gridCol w:w="1074"/>
        <w:gridCol w:w="1557"/>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Gorenstein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Gorenstein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2.1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1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8"/>
        <w:gridCol w:w="468"/>
        <w:gridCol w:w="468"/>
        <w:gridCol w:w="2367"/>
        <w:gridCol w:w="2367"/>
        <w:gridCol w:w="2372"/>
        <w:gridCol w:w="468"/>
        <w:gridCol w:w="468"/>
        <w:gridCol w:w="689"/>
      </w:tblGrid>
      <w:tr>
        <w:trPr/>
        <w:tc>
          <w:tcPr>
            <w:tcW w:w="53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DATED 8 SEPTEMBER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CGM B.V.</w:t>
            </w:r>
          </w:p>
          <w:p>
            <w:pPr>
              <w:pStyle w:val="TableContents"/>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as the Purchaser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CRONOS GROUP INC.</w:t>
            </w:r>
          </w:p>
          <w:p>
            <w:pPr>
              <w:pStyle w:val="TableContents"/>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as the Guarantor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ableContents"/>
              <w:bidi w:val="0"/>
              <w:spacing w:lineRule="auto" w:line="288" w:before="360" w:after="240"/>
              <w:jc w:val="center"/>
              <w:rPr>
                <w:rFonts w:ascii="Times New Roman;serif" w:hAnsi="Times New Roman;serif"/>
                <w:b/>
                <w:color w:val="000000"/>
                <w:sz w:val="22"/>
              </w:rPr>
            </w:pPr>
            <w:r>
              <w:rPr>
                <w:rFonts w:ascii="Times New Roman;serif" w:hAnsi="Times New Roman;serif"/>
                <w:b/>
                <w:color w:val="000000"/>
                <w:sz w:val="22"/>
              </w:rPr>
              <w:t>"RING" INTERNATIONAL HOLDING AG</w:t>
            </w:r>
          </w:p>
          <w:p>
            <w:pPr>
              <w:pStyle w:val="TableContents"/>
              <w:bidi w:val="0"/>
              <w:spacing w:lineRule="auto" w:line="288" w:before="360" w:after="240"/>
              <w:jc w:val="center"/>
              <w:rPr>
                <w:rFonts w:ascii="Times New Roman;serif" w:hAnsi="Times New Roman;serif"/>
                <w:b/>
                <w:color w:val="000000"/>
                <w:sz w:val="22"/>
              </w:rPr>
            </w:pPr>
            <w:r>
              <w:rPr>
                <w:rFonts w:ascii="Times New Roman;serif" w:hAnsi="Times New Roman;serif"/>
                <w:b/>
                <w:color w:val="000000"/>
                <w:sz w:val="22"/>
              </w:rPr>
              <w:t>LANDEWYCK TOBACCO S.A.</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the Sellers</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6"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SECOND AGREEMENT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TO AMEND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THE SHARE PURCHASE AGREEMENT DATED 9 DECEMBER 2025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AMENDED ON 8 MAY 2026)</w:t>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94995"/>
                <wp:effectExtent l="0" t="0" r="0" b="0"/>
                <wp:wrapNone/>
                <wp:docPr id="4" name="Frame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260"/>
        <w:jc w:val="both"/>
        <w:rPr>
          <w:rFonts w:ascii="Times New Roman;serif" w:hAnsi="Times New Roman;serif"/>
          <w:b/>
          <w:color w:val="000000"/>
          <w:sz w:val="22"/>
        </w:rPr>
      </w:pPr>
      <w:r>
        <w:rPr>
          <w:rFonts w:ascii="Times New Roman;serif" w:hAnsi="Times New Roman;serif"/>
          <w:b/>
          <w:color w:val="000000"/>
          <w:sz w:val="22"/>
        </w:rPr>
        <w:t>THIS SECOND AMENDMENT AGREEMENT IS MADE ON 8 SEPTEMBER 2026,</w:t>
      </w:r>
    </w:p>
    <w:p>
      <w:pPr>
        <w:pStyle w:val="TextBody"/>
        <w:bidi w:val="0"/>
        <w:spacing w:lineRule="auto" w:line="328" w:before="0" w:after="260"/>
        <w:jc w:val="both"/>
        <w:rPr>
          <w:rFonts w:ascii="Times New Roman;serif" w:hAnsi="Times New Roman;serif"/>
          <w:b/>
          <w:color w:val="000000"/>
          <w:sz w:val="22"/>
        </w:rPr>
      </w:pPr>
      <w:r>
        <w:rPr>
          <w:rFonts w:ascii="Times New Roman;serif" w:hAnsi="Times New Roman;serif"/>
          <w:b/>
          <w:color w:val="000000"/>
          <w:sz w:val="22"/>
        </w:rPr>
        <w:t>BETWEEN</w:t>
      </w:r>
    </w:p>
    <w:p>
      <w:pPr>
        <w:pStyle w:val="TextBody"/>
        <w:bidi w:val="0"/>
        <w:spacing w:lineRule="auto" w:line="288" w:before="0" w:after="0"/>
        <w:ind w:left="0" w:right="0" w:hanging="624"/>
        <w:jc w:val="both"/>
        <w:rPr/>
      </w:pPr>
      <w:r>
        <w:rPr>
          <w:rFonts w:ascii="Times New Roman;serif" w:hAnsi="Times New Roman;serif"/>
          <w:b w:val="false"/>
          <w:color w:val="000000"/>
          <w:sz w:val="22"/>
        </w:rPr>
        <w:t>(1)</w:t>
      </w:r>
      <w:r>
        <w:rPr>
          <w:rFonts w:ascii="Times New Roman;serif" w:hAnsi="Times New Roman;serif"/>
          <w:b/>
          <w:color w:val="000000"/>
          <w:sz w:val="22"/>
        </w:rPr>
        <w:t>CGM B.V.</w:t>
      </w:r>
      <w:r>
        <w:rPr>
          <w:rFonts w:ascii="Times New Roman;serif" w:hAnsi="Times New Roman;serif"/>
          <w:b w:val="false"/>
          <w:color w:val="000000"/>
          <w:sz w:val="22"/>
        </w:rPr>
        <w:t>, a company incorporated under the laws of the Netherlands with its corporate seat in Amsterdam, the Netherlands, and registered with the trade register of the Dutch Chamber of Commerce under number 99005948 (the "</w:t>
      </w:r>
      <w:r>
        <w:rPr>
          <w:rFonts w:ascii="Times New Roman;serif" w:hAnsi="Times New Roman;serif"/>
          <w:b/>
          <w:color w:val="000000"/>
          <w:sz w:val="22"/>
        </w:rPr>
        <w:t>Purchaser</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624"/>
        <w:jc w:val="both"/>
        <w:rPr/>
      </w:pPr>
      <w:r>
        <w:rPr>
          <w:rFonts w:ascii="Times New Roman;serif" w:hAnsi="Times New Roman;serif"/>
          <w:b w:val="false"/>
          <w:color w:val="000000"/>
          <w:sz w:val="22"/>
        </w:rPr>
        <w:t>(2)</w:t>
      </w:r>
      <w:r>
        <w:rPr>
          <w:rFonts w:ascii="TimesNewRomanPS-BoldMT;sans-serif" w:hAnsi="TimesNewRomanPS-BoldMT;sans-serif"/>
          <w:b/>
          <w:color w:val="000000"/>
          <w:sz w:val="22"/>
        </w:rPr>
        <w:t>CRONOS GROUP INC.</w:t>
      </w:r>
      <w:r>
        <w:rPr>
          <w:rFonts w:ascii="TimesNewRomanPSMT;sans-serif" w:hAnsi="TimesNewRomanPSMT;sans-serif"/>
          <w:b w:val="false"/>
          <w:color w:val="000000"/>
          <w:sz w:val="22"/>
        </w:rPr>
        <w:t>, a company incorporated under the laws of British Columbia, with its registered office is at 1133 Melville Street, Suite 3500, The Stack, Vancouver, BC V6E 4E5, registered under number C1256453 ("</w:t>
      </w:r>
      <w:r>
        <w:rPr>
          <w:rFonts w:ascii="TimesNewRomanPS-BoldMT;sans-serif" w:hAnsi="TimesNewRomanPS-BoldMT;sans-serif"/>
          <w:b/>
          <w:color w:val="000000"/>
          <w:sz w:val="22"/>
        </w:rPr>
        <w:t>Guarantor</w:t>
      </w:r>
      <w:r>
        <w:rPr>
          <w:rFonts w:ascii="TimesNewRomanPSMT;sans-serif" w:hAnsi="TimesNewRomanPSMT;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624"/>
        <w:jc w:val="both"/>
        <w:rPr/>
      </w:pPr>
      <w:r>
        <w:rPr>
          <w:rFonts w:ascii="TimesNewRomanPSMT;sans-serif" w:hAnsi="TimesNewRomanPSMT;sans-serif"/>
          <w:b w:val="false"/>
          <w:color w:val="000000"/>
          <w:sz w:val="22"/>
        </w:rPr>
        <w:t>(3)</w:t>
      </w:r>
      <w:r>
        <w:rPr>
          <w:rFonts w:ascii="TimesNewRomanPS-BoldMT;sans-serif" w:hAnsi="TimesNewRomanPS-BoldMT;sans-serif"/>
          <w:b/>
          <w:color w:val="000000"/>
          <w:sz w:val="22"/>
        </w:rPr>
        <w:t>"RING" INTERNATIONAL HOLDING AG</w:t>
      </w:r>
      <w:r>
        <w:rPr>
          <w:rFonts w:ascii="TimesNewRomanPSMT;sans-serif" w:hAnsi="TimesNewRomanPSMT;sans-serif"/>
          <w:b w:val="false"/>
          <w:color w:val="000000"/>
          <w:sz w:val="22"/>
        </w:rPr>
        <w:t>, a company incorporated under the laws of Austria with its corporate seat in Vienna, Austria, registered with the Austrian commercial register under number FN 225112 y ("</w:t>
      </w:r>
      <w:r>
        <w:rPr>
          <w:rFonts w:ascii="TimesNewRomanPS-BoldMT;sans-serif" w:hAnsi="TimesNewRomanPS-BoldMT;sans-serif"/>
          <w:b/>
          <w:color w:val="000000"/>
          <w:sz w:val="22"/>
        </w:rPr>
        <w:t>Ring</w:t>
      </w:r>
      <w:r>
        <w:rPr>
          <w:rFonts w:ascii="TimesNewRomanPSMT;sans-serif" w:hAnsi="TimesNewRomanPSMT;sans-serif"/>
          <w:b w:val="false"/>
          <w:color w:val="000000"/>
          <w:sz w:val="22"/>
        </w:rPr>
        <w:t>"); and</w:t>
      </w:r>
    </w:p>
    <w:p>
      <w:pPr>
        <w:pStyle w:val="TextBody"/>
        <w:bidi w:val="0"/>
        <w:spacing w:before="0" w:after="0"/>
        <w:jc w:val="both"/>
        <w:rPr/>
      </w:pPr>
      <w:r>
        <w:rPr/>
      </w:r>
    </w:p>
    <w:p>
      <w:pPr>
        <w:pStyle w:val="TextBody"/>
        <w:bidi w:val="0"/>
        <w:spacing w:lineRule="auto" w:line="288" w:before="0" w:after="0"/>
        <w:ind w:left="0" w:right="0" w:hanging="624"/>
        <w:jc w:val="both"/>
        <w:rPr/>
      </w:pPr>
      <w:r>
        <w:rPr>
          <w:rFonts w:ascii="Times New Roman;serif" w:hAnsi="Times New Roman;serif"/>
          <w:b w:val="false"/>
          <w:color w:val="000000"/>
          <w:sz w:val="22"/>
        </w:rPr>
        <w:t>(4)</w:t>
      </w:r>
      <w:r>
        <w:rPr>
          <w:rFonts w:ascii="TimesNewRomanPS-BoldMT;sans-serif" w:hAnsi="TimesNewRomanPS-BoldMT;sans-serif"/>
          <w:b/>
          <w:color w:val="000000"/>
          <w:sz w:val="22"/>
        </w:rPr>
        <w:t>LANDEWYCK TOBACCO S.A.</w:t>
      </w:r>
      <w:r>
        <w:rPr>
          <w:rFonts w:ascii="TimesNewRomanPSMT;sans-serif" w:hAnsi="TimesNewRomanPSMT;sans-serif"/>
          <w:b w:val="false"/>
          <w:color w:val="000000"/>
          <w:sz w:val="22"/>
        </w:rPr>
        <w:t>, a company incorporated under the laws of Luxembourg with its corporate seat in Luxembourg, Luxembourg, registered with the Luxembourg register of trade and companies under number B 174692 ("</w:t>
      </w:r>
      <w:r>
        <w:rPr>
          <w:rFonts w:ascii="TimesNewRomanPS-BoldMT;sans-serif" w:hAnsi="TimesNewRomanPS-BoldMT;sans-serif"/>
          <w:b/>
          <w:color w:val="000000"/>
          <w:sz w:val="22"/>
        </w:rPr>
        <w:t>Landewyck</w:t>
      </w:r>
      <w:r>
        <w:rPr>
          <w:rFonts w:ascii="TimesNewRomanPSMT;sans-serif" w:hAnsi="TimesNewRomanPSMT;sans-serif"/>
          <w:b w:val="false"/>
          <w:color w:val="000000"/>
          <w:sz w:val="22"/>
        </w:rPr>
        <w:t>").</w:t>
      </w:r>
    </w:p>
    <w:p>
      <w:pPr>
        <w:pStyle w:val="TextBody"/>
        <w:bidi w:val="0"/>
        <w:spacing w:lineRule="auto" w:line="328" w:before="0" w:after="260"/>
        <w:jc w:val="both"/>
        <w:rPr/>
      </w:pPr>
      <w:r>
        <w:rPr>
          <w:rFonts w:ascii="Times New Roman;serif" w:hAnsi="Times New Roman;serif"/>
          <w:b w:val="false"/>
          <w:color w:val="000000"/>
          <w:sz w:val="22"/>
        </w:rPr>
        <w:br/>
        <w:t>The parties under (3) and (4) above are collectively referred to as the "</w:t>
      </w:r>
      <w:r>
        <w:rPr>
          <w:rFonts w:ascii="Times New Roman;serif" w:hAnsi="Times New Roman;serif"/>
          <w:b/>
          <w:color w:val="000000"/>
          <w:sz w:val="22"/>
        </w:rPr>
        <w:t>Sellers</w:t>
      </w:r>
      <w:r>
        <w:rPr>
          <w:rFonts w:ascii="Times New Roman;serif" w:hAnsi="Times New Roman;serif"/>
          <w:b w:val="false"/>
          <w:color w:val="000000"/>
          <w:sz w:val="22"/>
        </w:rPr>
        <w:t>" and individually as a "</w:t>
      </w:r>
      <w:r>
        <w:rPr>
          <w:rFonts w:ascii="Times New Roman;serif" w:hAnsi="Times New Roman;serif"/>
          <w:b/>
          <w:color w:val="000000"/>
          <w:sz w:val="22"/>
        </w:rPr>
        <w:t>Seller</w:t>
      </w:r>
      <w:r>
        <w:rPr>
          <w:rFonts w:ascii="Times New Roman;serif" w:hAnsi="Times New Roman;serif"/>
          <w:b w:val="false"/>
          <w:color w:val="000000"/>
          <w:sz w:val="22"/>
        </w:rPr>
        <w:t>". The above parties to this Agreement are collectively referred to as the "</w:t>
      </w:r>
      <w:r>
        <w:rPr>
          <w:rFonts w:ascii="Times New Roman;serif" w:hAnsi="Times New Roman;serif"/>
          <w:b/>
          <w:color w:val="000000"/>
          <w:sz w:val="22"/>
        </w:rPr>
        <w:t>Parties</w:t>
      </w:r>
      <w:r>
        <w:rPr>
          <w:rFonts w:ascii="Times New Roman;serif" w:hAnsi="Times New Roman;serif"/>
          <w:b w:val="false"/>
          <w:color w:val="000000"/>
          <w:sz w:val="22"/>
        </w:rPr>
        <w:t>" and individually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28" w:before="0" w:after="260"/>
        <w:jc w:val="both"/>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28" w:before="0" w:after="0"/>
        <w:ind w:left="0" w:right="0" w:hanging="567"/>
        <w:jc w:val="both"/>
        <w:rPr/>
      </w:pPr>
      <w:r>
        <w:rPr>
          <w:rFonts w:ascii="Times New Roman;serif" w:hAnsi="Times New Roman;serif"/>
          <w:b w:val="false"/>
          <w:color w:val="000000"/>
          <w:sz w:val="22"/>
        </w:rPr>
        <w:t>(A)On 9 December 2025, the Parties entered into a share sale and purchase agreement (the "</w:t>
      </w:r>
      <w:r>
        <w:rPr>
          <w:rFonts w:ascii="Times New Roman;serif" w:hAnsi="Times New Roman;serif"/>
          <w:b/>
          <w:color w:val="000000"/>
          <w:sz w:val="22"/>
        </w:rPr>
        <w:t>SPA</w:t>
      </w:r>
      <w:r>
        <w:rPr>
          <w:rFonts w:ascii="Times New Roman;serif" w:hAnsi="Times New Roman;serif"/>
          <w:b w:val="false"/>
          <w:color w:val="000000"/>
          <w:sz w:val="22"/>
        </w:rPr>
        <w:t>") pursuant to which the Purchaser agreed to purchase from the Sellers all shares in the capital of CanAdelaar B.V., a company incorporated under the laws of the Netherlands with its corporate seat in Hellevoetsluis, the Netherlands, registered with the trade register of the Chamber of Commerce under number 73034401 (the "</w:t>
      </w:r>
      <w:r>
        <w:rPr>
          <w:rFonts w:ascii="Times New Roman;serif" w:hAnsi="Times New Roman;serif"/>
          <w:b/>
          <w:color w:val="000000"/>
          <w:sz w:val="22"/>
        </w:rPr>
        <w:t>Company</w:t>
      </w:r>
      <w:r>
        <w:rPr>
          <w:rFonts w:ascii="Times New Roman;serif" w:hAnsi="Times New Roman;serif"/>
          <w:b w:val="false"/>
          <w:color w:val="000000"/>
          <w:sz w:val="22"/>
        </w:rPr>
        <w:t>") (the "</w:t>
      </w:r>
      <w:r>
        <w:rPr>
          <w:rFonts w:ascii="Times New Roman;serif" w:hAnsi="Times New Roman;serif"/>
          <w:b/>
          <w:color w:val="000000"/>
          <w:sz w:val="22"/>
        </w:rPr>
        <w:t>Transaction</w:t>
      </w:r>
      <w:r>
        <w:rPr>
          <w:rFonts w:ascii="Times New Roman;serif" w:hAnsi="Times New Roman;serif"/>
          <w:b w:val="false"/>
          <w:color w:val="000000"/>
          <w:sz w:val="22"/>
        </w:rPr>
        <w:t>"). The Guarantor has guaranteed the due and punctual performance of any other obligations by the Purchaser under the SPA.</w:t>
      </w:r>
    </w:p>
    <w:p>
      <w:pPr>
        <w:pStyle w:val="TextBody"/>
        <w:bidi w:val="0"/>
        <w:spacing w:before="0" w:after="0"/>
        <w:jc w:val="both"/>
        <w:rPr/>
      </w:pPr>
      <w:r>
        <w:rPr/>
      </w:r>
    </w:p>
    <w:p>
      <w:pPr>
        <w:pStyle w:val="TextBody"/>
        <w:bidi w:val="0"/>
        <w:spacing w:lineRule="auto" w:line="328" w:before="0" w:after="0"/>
        <w:ind w:left="0" w:right="0" w:hanging="567"/>
        <w:jc w:val="both"/>
        <w:rPr/>
      </w:pPr>
      <w:r>
        <w:rPr>
          <w:rFonts w:ascii="Times New Roman;serif" w:hAnsi="Times New Roman;serif"/>
          <w:b w:val="false"/>
          <w:color w:val="000000"/>
          <w:sz w:val="22"/>
        </w:rPr>
        <w:t>(B)On 8 May 2026, the Parties determined that the Regulatory Conditions (as defined in the SPA) were not, or were unlikely to, be satisfied prior to the expiry of the Long Stop Date (as defined in the SPA) and therefore determined to amend the SPA (the “</w:t>
      </w:r>
      <w:r>
        <w:rPr>
          <w:rFonts w:ascii="Times New Roman;serif" w:hAnsi="Times New Roman;serif"/>
          <w:b/>
          <w:color w:val="000000"/>
          <w:sz w:val="22"/>
        </w:rPr>
        <w:t>First Amendment Agreement</w:t>
      </w:r>
      <w:r>
        <w:rPr>
          <w:color w:val="000000"/>
        </w:rPr>
        <w:t>”</w:t>
      </w:r>
      <w:r>
        <w:rPr>
          <w:rFonts w:ascii="Times New Roman;serif" w:hAnsi="Times New Roman;serif"/>
          <w:b w:val="false"/>
          <w:color w:val="000000"/>
          <w:sz w:val="22"/>
        </w:rPr>
        <w:t>) to extend the Long Stop Date to 9 September 2026.</w:t>
      </w:r>
    </w:p>
    <w:p>
      <w:pPr>
        <w:pStyle w:val="TextBody"/>
        <w:bidi w:val="0"/>
        <w:spacing w:before="0" w:after="0"/>
        <w:jc w:val="both"/>
        <w:rPr/>
      </w:pPr>
      <w:r>
        <w:rPr/>
      </w:r>
    </w:p>
    <w:p>
      <w:pPr>
        <w:pStyle w:val="TextBody"/>
        <w:bidi w:val="0"/>
        <w:spacing w:lineRule="auto" w:line="328" w:before="0" w:after="260"/>
        <w:ind w:left="0" w:right="0" w:hanging="567"/>
        <w:jc w:val="both"/>
        <w:rPr/>
      </w:pPr>
      <w:r>
        <w:rPr>
          <w:rFonts w:ascii="Times New Roman;serif" w:hAnsi="Times New Roman;serif"/>
          <w:b w:val="false"/>
          <w:color w:val="000000"/>
          <w:sz w:val="22"/>
        </w:rPr>
        <w:t>(C)The Parties have again determined that the Regulatory Conditions will not, or are unlikely to, be satisfied prior to the expiry of the amended Long Stop Date, being 9 September 2026. As Parties nevertheless wish to proceed with the Transaction on the terms and conditions as set out in the SPA, they wish to amend the SPA in accordance with this amendment agreement (the "</w:t>
      </w:r>
      <w:r>
        <w:rPr>
          <w:rFonts w:ascii="Times New Roman;serif" w:hAnsi="Times New Roman;serif"/>
          <w:b/>
          <w:color w:val="000000"/>
          <w:sz w:val="22"/>
        </w:rPr>
        <w:t>Second Amendment Agreement</w:t>
      </w:r>
      <w:r>
        <w:rPr>
          <w:rFonts w:ascii="Times New Roman;serif" w:hAnsi="Times New Roman;serif"/>
          <w:b w:val="false"/>
          <w:color w:val="000000"/>
          <w:sz w:val="22"/>
        </w:rPr>
        <w:t>").</w:t>
      </w:r>
    </w:p>
    <w:p>
      <w:pPr>
        <w:pStyle w:val="TextBody"/>
        <w:bidi w:val="0"/>
        <w:spacing w:lineRule="auto" w:line="328" w:before="0" w:after="260"/>
        <w:jc w:val="both"/>
        <w:rPr/>
      </w:pPr>
      <w:r>
        <w:rPr>
          <w:rFonts w:ascii="Times New Roman;serif" w:hAnsi="Times New Roman;serif"/>
          <w:b/>
          <w:color w:val="000000"/>
          <w:sz w:val="22"/>
        </w:rPr>
        <w:t>IT IS THEREFORE AGREED</w:t>
      </w:r>
      <w:r>
        <w:rPr>
          <w:rFonts w:ascii="Times New Roman;serif" w:hAnsi="Times New Roman;serif"/>
          <w:b w:val="false"/>
          <w:color w:val="000000"/>
          <w:sz w:val="22"/>
        </w:rPr>
        <w:t>:</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7665"/>
                <wp:effectExtent l="0" t="0" r="0" b="0"/>
                <wp:wrapNone/>
                <wp:docPr id="5" name="Frame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1.DEFINITIONS AND INTERPRETATION</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1.1Capitalised words used but not defined in this Second Amendment Agreement shall have the meanings ascribed to them in the SPA.</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1.2In case of an ambiguity or a conflict between the provisions of the SPA (as amended by the First Amendment Agreement) on the one hand, and this Second Amendment Agreement on the other hand, the provisions of this Second Amendment Agreement shall prevail.</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1.3This Second Amendment Agreement forms and integral part of the SPA (as amended by the First Amendment Agreement). After giving effect to this Second Amendment Agreement on the date hereof, each reference in the SPA to "this SPA", "hereof", "hereunder" or words of like import referring to the SPA shall refer to the SPA as amended by the First Amendment Agreement and this Second Amendment Agreement.</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2.AMENDMENT TO SPA</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2.1The Parties agree that clause 4.5.1 of the SPA is hereby amended and restated in its entirety as follows:</w:t>
      </w:r>
    </w:p>
    <w:p>
      <w:pPr>
        <w:pStyle w:val="TextBody"/>
        <w:bidi w:val="0"/>
        <w:spacing w:lineRule="auto" w:line="328" w:before="0" w:after="260"/>
        <w:jc w:val="both"/>
        <w:rPr/>
      </w:pPr>
      <w:r>
        <w:rPr>
          <w:rFonts w:ascii="Times New Roman;serif" w:hAnsi="Times New Roman;serif"/>
          <w:b w:val="false"/>
          <w:color w:val="000000"/>
          <w:sz w:val="22"/>
        </w:rPr>
        <w:t>"Subject to Clause 4.5.2, if the Conditions have not been satisfied or waived in accordance with Clause 4.4.2 or if Completion has not occurred on or before 15 October 2026 (the "</w:t>
      </w:r>
      <w:r>
        <w:rPr>
          <w:rFonts w:ascii="Times New Roman;serif" w:hAnsi="Times New Roman;serif"/>
          <w:b/>
          <w:color w:val="000000"/>
          <w:sz w:val="22"/>
        </w:rPr>
        <w:t>Long Stop Date</w:t>
      </w:r>
      <w:r>
        <w:rPr>
          <w:rFonts w:ascii="Times New Roman;serif" w:hAnsi="Times New Roman;serif"/>
          <w:b w:val="false"/>
          <w:color w:val="000000"/>
          <w:sz w:val="22"/>
        </w:rPr>
        <w:t>") or if before that date it transpires that the relevant Governmental Authorities have provided written notice that a Regulatory Condition is incapable of satisfaction by the Long Stop Date, and such Regulatory Condition is not waived by the Purchaser in accordance with Clause 4.4.2, this Agreement may be terminated with immediate effect by either the Purchaser or the Sellers giving notice to the other Party."</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3.EFFECT OF AMENDMENT</w:t>
      </w:r>
    </w:p>
    <w:p>
      <w:pPr>
        <w:pStyle w:val="TextBody"/>
        <w:bidi w:val="0"/>
        <w:spacing w:lineRule="auto" w:line="328" w:before="0" w:after="260"/>
        <w:ind w:left="0" w:right="0" w:firstLine="11"/>
        <w:jc w:val="both"/>
        <w:rPr>
          <w:rFonts w:ascii="Times New Roman;serif" w:hAnsi="Times New Roman;serif"/>
          <w:b w:val="false"/>
          <w:color w:val="000000"/>
          <w:sz w:val="22"/>
        </w:rPr>
      </w:pPr>
      <w:r>
        <w:rPr>
          <w:rFonts w:ascii="Times New Roman;serif" w:hAnsi="Times New Roman;serif"/>
          <w:b w:val="false"/>
          <w:color w:val="000000"/>
          <w:sz w:val="22"/>
        </w:rPr>
        <w:t>Unless explicitly amended by Clause 2 of this Second Amendment Agreement, the provisions of the SPA shall not be amended, supplemented and/or restated and shall remain in full force and effect in their current form.</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4.MISCELLANEOUS PROVISIONS</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4.1This Second Amendment Agreement constitutes an amendment to the SPA in compliance with the requirements contemplated by clause 21.5 of the SPA.</w:t>
      </w:r>
    </w:p>
    <w:p>
      <w:pPr>
        <w:pStyle w:val="TextBody"/>
        <w:bidi w:val="0"/>
        <w:spacing w:lineRule="auto" w:line="288" w:before="240" w:after="260"/>
        <w:ind w:left="0" w:right="0" w:hanging="709"/>
        <w:jc w:val="both"/>
        <w:rPr/>
      </w:pPr>
      <w:r>
        <w:rPr>
          <w:rFonts w:ascii="Times New Roman;serif" w:hAnsi="Times New Roman;serif"/>
          <w:b w:val="false"/>
          <w:color w:val="000000"/>
          <w:sz w:val="22"/>
        </w:rPr>
        <w:t>4.2Clauses 1 (</w:t>
      </w:r>
      <w:r>
        <w:rPr>
          <w:rFonts w:ascii="Times New Roman;serif" w:hAnsi="Times New Roman;serif"/>
          <w:b w:val="false"/>
          <w:i/>
          <w:color w:val="000000"/>
          <w:sz w:val="22"/>
        </w:rPr>
        <w:t>Interpretation</w:t>
      </w:r>
      <w:r>
        <w:rPr>
          <w:rFonts w:ascii="Times New Roman;serif" w:hAnsi="Times New Roman;serif"/>
          <w:b w:val="false"/>
          <w:color w:val="000000"/>
          <w:sz w:val="22"/>
        </w:rPr>
        <w:t>), 12.2 (</w:t>
      </w:r>
      <w:r>
        <w:rPr>
          <w:rFonts w:ascii="Times New Roman;serif" w:hAnsi="Times New Roman;serif"/>
          <w:b w:val="false"/>
          <w:i/>
          <w:color w:val="000000"/>
          <w:sz w:val="22"/>
        </w:rPr>
        <w:t>Notices</w:t>
      </w:r>
      <w:r>
        <w:rPr>
          <w:rFonts w:ascii="Times New Roman;serif" w:hAnsi="Times New Roman;serif"/>
          <w:b w:val="false"/>
          <w:color w:val="000000"/>
          <w:sz w:val="22"/>
        </w:rPr>
        <w:t>), 12.4 (</w:t>
      </w:r>
      <w:r>
        <w:rPr>
          <w:rFonts w:ascii="Times New Roman;serif" w:hAnsi="Times New Roman;serif"/>
          <w:b w:val="false"/>
          <w:i/>
          <w:color w:val="000000"/>
          <w:sz w:val="22"/>
        </w:rPr>
        <w:t>Entire agreement</w:t>
      </w:r>
      <w:r>
        <w:rPr>
          <w:rFonts w:ascii="Times New Roman;serif" w:hAnsi="Times New Roman;serif"/>
          <w:b w:val="false"/>
          <w:color w:val="000000"/>
          <w:sz w:val="22"/>
        </w:rPr>
        <w:t>), 21.5 (</w:t>
      </w:r>
      <w:r>
        <w:rPr>
          <w:rFonts w:ascii="Times New Roman;serif" w:hAnsi="Times New Roman;serif"/>
          <w:b w:val="false"/>
          <w:i/>
          <w:color w:val="000000"/>
          <w:sz w:val="22"/>
        </w:rPr>
        <w:t>Amendment</w:t>
      </w:r>
      <w:r>
        <w:rPr>
          <w:rFonts w:ascii="Times New Roman;serif" w:hAnsi="Times New Roman;serif"/>
          <w:b w:val="false"/>
          <w:color w:val="000000"/>
          <w:sz w:val="22"/>
        </w:rPr>
        <w:t>), 21.8 (</w:t>
      </w:r>
      <w:r>
        <w:rPr>
          <w:rFonts w:ascii="Times New Roman;serif" w:hAnsi="Times New Roman;serif"/>
          <w:b w:val="false"/>
          <w:i/>
          <w:color w:val="000000"/>
          <w:sz w:val="22"/>
        </w:rPr>
        <w:t>Governing law</w:t>
      </w:r>
      <w:r>
        <w:rPr>
          <w:rFonts w:ascii="Times New Roman;serif" w:hAnsi="Times New Roman;serif"/>
          <w:b w:val="false"/>
          <w:color w:val="000000"/>
          <w:sz w:val="22"/>
        </w:rPr>
        <w:t>), 21.15 (</w:t>
      </w:r>
      <w:r>
        <w:rPr>
          <w:rFonts w:ascii="Times New Roman;serif" w:hAnsi="Times New Roman;serif"/>
          <w:b w:val="false"/>
          <w:i/>
          <w:color w:val="000000"/>
          <w:sz w:val="22"/>
        </w:rPr>
        <w:t>Notices to Sellers</w:t>
      </w:r>
      <w:r>
        <w:rPr>
          <w:rFonts w:ascii="Times New Roman;serif" w:hAnsi="Times New Roman;serif"/>
          <w:b w:val="false"/>
          <w:color w:val="000000"/>
          <w:sz w:val="22"/>
        </w:rPr>
        <w:t>), 21.16 (</w:t>
      </w:r>
      <w:r>
        <w:rPr>
          <w:rFonts w:ascii="Times New Roman;serif" w:hAnsi="Times New Roman;serif"/>
          <w:b w:val="false"/>
          <w:i/>
          <w:color w:val="000000"/>
          <w:sz w:val="22"/>
        </w:rPr>
        <w:t>Third party rights</w:t>
      </w:r>
      <w:r>
        <w:rPr>
          <w:rFonts w:ascii="Times New Roman;serif" w:hAnsi="Times New Roman;serif"/>
          <w:b w:val="false"/>
          <w:color w:val="000000"/>
          <w:sz w:val="22"/>
        </w:rPr>
        <w:t>) and 21.19 (</w:t>
      </w:r>
      <w:r>
        <w:rPr>
          <w:rFonts w:ascii="Times New Roman;serif" w:hAnsi="Times New Roman;serif"/>
          <w:b w:val="false"/>
          <w:i/>
          <w:color w:val="000000"/>
          <w:sz w:val="22"/>
        </w:rPr>
        <w:t>Jurisdiction</w:t>
      </w:r>
      <w:r>
        <w:rPr>
          <w:rFonts w:ascii="Times New Roman;serif" w:hAnsi="Times New Roman;serif"/>
          <w:b w:val="false"/>
          <w:color w:val="000000"/>
          <w:sz w:val="22"/>
        </w:rPr>
        <w:t xml:space="preserve">), as well as the </w:t>
      </w:r>
      <w:r>
        <w:rPr>
          <w:rFonts w:ascii="Times New Roman;serif" w:hAnsi="Times New Roman;serif"/>
          <w:b w:val="false"/>
          <w:i/>
          <w:color w:val="000000"/>
          <w:sz w:val="22"/>
        </w:rPr>
        <w:t>Definitions Schedule</w:t>
      </w:r>
      <w:r>
        <w:rPr>
          <w:color w:val="000000"/>
        </w:rPr>
        <w:t xml:space="preserve"> </w:t>
      </w:r>
      <w:r>
        <w:rPr>
          <w:rFonts w:ascii="Times New Roman;serif" w:hAnsi="Times New Roman;serif"/>
          <w:b w:val="false"/>
          <w:color w:val="000000"/>
          <w:sz w:val="22"/>
        </w:rPr>
        <w:t xml:space="preserve">of the SPA are incorporated by reference into this Second Amendment Agreement and shall apply, </w:t>
      </w:r>
      <w:r>
        <w:rPr>
          <w:rFonts w:ascii="Times New Roman;serif" w:hAnsi="Times New Roman;serif"/>
          <w:b w:val="false"/>
          <w:i/>
          <w:color w:val="000000"/>
          <w:sz w:val="22"/>
        </w:rPr>
        <w:t>mutatis mutandis</w:t>
      </w:r>
      <w:r>
        <w:rPr>
          <w:rFonts w:ascii="Times New Roman;serif" w:hAnsi="Times New Roman;serif"/>
          <w:b w:val="false"/>
          <w:color w:val="000000"/>
          <w:sz w:val="22"/>
        </w:rPr>
        <w:t>, to this Second Amendment Agreement.</w:t>
      </w:r>
    </w:p>
    <w:p>
      <w:pPr>
        <w:pStyle w:val="TextBody"/>
        <w:bidi w:val="0"/>
        <w:spacing w:lineRule="auto" w:line="328" w:before="0" w:after="26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follow</w:t>
      </w:r>
      <w:r>
        <w:rPr>
          <w:rFonts w:ascii="Times New Roman;serif" w:hAnsi="Times New Roman;serif"/>
          <w:b w:val="false"/>
          <w:color w:val="000000"/>
          <w:sz w:val="22"/>
        </w:rPr>
        <w:t>]</w:t>
      </w:r>
    </w:p>
    <w:p>
      <w:pPr>
        <w:pStyle w:val="TextBody"/>
        <w:bidi w:val="0"/>
        <w:spacing w:before="0" w:after="2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7665"/>
                <wp:effectExtent l="0" t="0" r="0" b="0"/>
                <wp:wrapNone/>
                <wp:docPr id="6" name="Frame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260"/>
        <w:jc w:val="left"/>
        <w:rPr>
          <w:rFonts w:ascii="Times New Roman;serif" w:hAnsi="Times New Roman;serif"/>
          <w:b/>
          <w:color w:val="000000"/>
          <w:sz w:val="22"/>
        </w:rPr>
      </w:pPr>
      <w:r>
        <w:rPr>
          <w:rFonts w:ascii="Times New Roman;serif" w:hAnsi="Times New Roman;serif"/>
          <w:b/>
          <w:color w:val="000000"/>
          <w:sz w:val="22"/>
        </w:rPr>
        <w:t>AGREED AND SIGNED ON THE DATE FIRST ABOVE WRITTEN</w:t>
      </w:r>
    </w:p>
    <w:p>
      <w:pPr>
        <w:pStyle w:val="TextBody"/>
        <w:bidi w:val="0"/>
        <w:spacing w:before="0" w:after="260"/>
        <w:jc w:val="left"/>
        <w:rPr/>
      </w:pPr>
      <w:r>
        <w:rPr/>
      </w:r>
    </w:p>
    <w:tbl>
      <w:tblPr>
        <w:tblW w:w="5651" w:type="dxa"/>
        <w:jc w:val="left"/>
        <w:tblInd w:w="0" w:type="dxa"/>
        <w:tblLayout w:type="fixed"/>
        <w:tblCellMar>
          <w:top w:w="28" w:type="dxa"/>
          <w:left w:w="28" w:type="dxa"/>
          <w:bottom w:w="28" w:type="dxa"/>
          <w:right w:w="28" w:type="dxa"/>
        </w:tblCellMar>
      </w:tblPr>
      <w:tblGrid>
        <w:gridCol w:w="960"/>
        <w:gridCol w:w="844"/>
        <w:gridCol w:w="850"/>
        <w:gridCol w:w="109"/>
        <w:gridCol w:w="109"/>
        <w:gridCol w:w="109"/>
        <w:gridCol w:w="780"/>
        <w:gridCol w:w="780"/>
        <w:gridCol w:w="1110"/>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CGM B.V.</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Terrence G.J. Doucet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Gerard J. van Spall</w:t>
            </w:r>
          </w:p>
        </w:tc>
      </w:tr>
      <w:tr>
        <w:trPr/>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Terrence G.J. Doucet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Gerard J. van Spall</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Managing Director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Managing Director B</w:t>
            </w:r>
          </w:p>
        </w:tc>
      </w:tr>
    </w:tbl>
    <w:p>
      <w:pPr>
        <w:pStyle w:val="TextBody"/>
        <w:bidi w:val="0"/>
        <w:spacing w:before="0" w:after="260"/>
        <w:jc w:val="left"/>
        <w:rPr/>
      </w:pPr>
      <w:r>
        <w:rPr/>
      </w:r>
    </w:p>
    <w:p>
      <w:pPr>
        <w:pStyle w:val="TextBody"/>
        <w:bidi w:val="0"/>
        <w:spacing w:before="0" w:after="260"/>
        <w:jc w:val="left"/>
        <w:rPr/>
      </w:pPr>
      <w:r>
        <w:rPr/>
      </w:r>
    </w:p>
    <w:tbl>
      <w:tblPr>
        <w:tblW w:w="2475" w:type="dxa"/>
        <w:jc w:val="left"/>
        <w:tblInd w:w="0" w:type="dxa"/>
        <w:tblLayout w:type="fixed"/>
        <w:tblCellMar>
          <w:top w:w="28" w:type="dxa"/>
          <w:left w:w="28" w:type="dxa"/>
          <w:bottom w:w="28" w:type="dxa"/>
          <w:right w:w="28" w:type="dxa"/>
        </w:tblCellMar>
      </w:tblPr>
      <w:tblGrid>
        <w:gridCol w:w="793"/>
        <w:gridCol w:w="697"/>
        <w:gridCol w:w="985"/>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Cronos Group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Michael Gorenstein</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Michael Gorenstein</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President and CEO</w:t>
            </w:r>
          </w:p>
        </w:tc>
      </w:tr>
    </w:tbl>
    <w:p>
      <w:pPr>
        <w:pStyle w:val="TextBody"/>
        <w:bidi w:val="0"/>
        <w:spacing w:before="0" w:after="260"/>
        <w:jc w:val="left"/>
        <w:rPr/>
      </w:pPr>
      <w:r>
        <w:rPr/>
      </w:r>
    </w:p>
    <w:p>
      <w:pPr>
        <w:pStyle w:val="TextBody"/>
        <w:bidi w:val="0"/>
        <w:spacing w:before="0" w:after="260"/>
        <w:jc w:val="left"/>
        <w:rPr/>
      </w:pPr>
      <w:r>
        <w:rPr/>
      </w:r>
    </w:p>
    <w:tbl>
      <w:tblPr>
        <w:tblW w:w="3926" w:type="dxa"/>
        <w:jc w:val="left"/>
        <w:tblInd w:w="0" w:type="dxa"/>
        <w:tblLayout w:type="fixed"/>
        <w:tblCellMar>
          <w:top w:w="28" w:type="dxa"/>
          <w:left w:w="28" w:type="dxa"/>
          <w:bottom w:w="28" w:type="dxa"/>
          <w:right w:w="28" w:type="dxa"/>
        </w:tblCellMar>
      </w:tblPr>
      <w:tblGrid>
        <w:gridCol w:w="1287"/>
        <w:gridCol w:w="1132"/>
        <w:gridCol w:w="1135"/>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"RING" International Holding AG</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Ralph-Leo Lanckor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Ralph-Leo Lanckor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 xml:space="preserve">Title: CEO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60"/>
        <w:jc w:val="left"/>
        <w:rPr/>
      </w:pPr>
      <w:r>
        <w:rPr/>
      </w:r>
    </w:p>
    <w:p>
      <w:pPr>
        <w:pStyle w:val="TextBody"/>
        <w:bidi w:val="0"/>
        <w:spacing w:before="0" w:after="2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49"/>
        <w:gridCol w:w="746"/>
        <w:gridCol w:w="1059"/>
      </w:tblGrid>
      <w:tr>
        <w:trPr/>
        <w:tc>
          <w:tcPr>
            <w:tcW w:w="8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Landewyck Tobacco S.A.</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Daniel Einhäuser</w:t>
            </w:r>
          </w:p>
        </w:tc>
      </w:tr>
      <w:tr>
        <w:trPr/>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Daniel Einhäuser</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CEO</w:t>
            </w:r>
          </w:p>
        </w:tc>
      </w:tr>
    </w:tbl>
    <w:p>
      <w:pPr>
        <w:pStyle w:val="TextBody"/>
        <w:bidi w:val="0"/>
        <w:spacing w:before="0" w:after="2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NewRomanPS-BoldMT">
    <w:altName w:val="sans-serif"/>
    <w:charset w:val="01"/>
    <w:family w:val="auto"/>
    <w:pitch w:val="default"/>
  </w:font>
  <w:font w:name="TimesNewRomanPSM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1520</Words>
  <Characters>8144</Characters>
  <CharactersWithSpaces>9565</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