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264.xml.htm"/>
      <w:bookmarkStart w:id="1" w:name="kswkform4_17861372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RUDYK JAMES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2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104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2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48,859.93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48,859.93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362,742.22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redemption, Deferred Share Units entitle the reporting person to receive a lump sum cash payment in an amount equal to the fair market value of the common shares of Cronos Group Inc. (the "Company") on the date of redemption.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Deferred Share Units are mandatorily redeemed by the Company on the first trading day after the reporting person ceases to be a director of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Werner, as attorney-in-fact for James D. Rudyk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640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3461</Characters>
  <CharactersWithSpaces>4033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