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627380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t>UNITED STATES</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right="2820" w:firstLine="6"/>
        <w:spacing w:after="0" w:line="272"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 w:lineRule="exact"/>
        <w:rPr>
          <w:sz w:val="24"/>
          <w:szCs w:val="24"/>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 .</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001-38403</w:t>
      </w:r>
    </w:p>
    <w:p>
      <w:pPr>
        <w:spacing w:after="0" w:line="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35"/>
          <w:szCs w:val="35"/>
          <w:b w:val="1"/>
          <w:bCs w:val="1"/>
          <w:color w:val="auto"/>
        </w:rPr>
        <w:t>CRONOS GROUP INC.</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4"/>
          <w:szCs w:val="24"/>
          <w:color w:val="auto"/>
        </w:rPr>
      </w:pPr>
    </w:p>
    <w:tbl>
      <w:tblPr>
        <w:tblLayout w:type="fixed"/>
        <w:tblInd w:w="1940" w:type="dxa"/>
        <w:tblCellMar>
          <w:top w:w="0" w:type="dxa"/>
          <w:left w:w="0" w:type="dxa"/>
          <w:bottom w:w="0" w:type="dxa"/>
          <w:right w:w="0" w:type="dxa"/>
        </w:tblCellMar>
      </w:tblPr>
      <w:tr>
        <w:trPr>
          <w:trHeight w:val="229"/>
        </w:trPr>
        <w:tc>
          <w:tcPr>
            <w:tcW w:w="5760" w:type="dxa"/>
            <w:vAlign w:val="bottom"/>
          </w:tcPr>
          <w:p>
            <w:pPr>
              <w:jc w:val="center"/>
              <w:ind w:right="3622"/>
              <w:spacing w:after="0"/>
              <w:rPr>
                <w:sz w:val="20"/>
                <w:szCs w:val="20"/>
                <w:color w:val="auto"/>
              </w:rPr>
            </w:pPr>
            <w:r>
              <w:rPr>
                <w:rFonts w:ascii="Arial" w:cs="Arial" w:eastAsia="Arial" w:hAnsi="Arial"/>
                <w:sz w:val="18"/>
                <w:szCs w:val="18"/>
                <w:b w:val="1"/>
                <w:bCs w:val="1"/>
                <w:color w:val="auto"/>
                <w:w w:val="90"/>
              </w:rPr>
              <w:t>British Columbia, Canada</w:t>
            </w:r>
          </w:p>
        </w:tc>
        <w:tc>
          <w:tcPr>
            <w:tcW w:w="1060" w:type="dxa"/>
            <w:vAlign w:val="bottom"/>
          </w:tcPr>
          <w:p>
            <w:pPr>
              <w:jc w:val="center"/>
              <w:ind w:left="48"/>
              <w:spacing w:after="0"/>
              <w:rPr>
                <w:sz w:val="20"/>
                <w:szCs w:val="20"/>
                <w:color w:val="auto"/>
              </w:rPr>
            </w:pPr>
            <w:r>
              <w:rPr>
                <w:rFonts w:ascii="Arial" w:cs="Arial" w:eastAsia="Arial" w:hAnsi="Arial"/>
                <w:sz w:val="18"/>
                <w:szCs w:val="18"/>
                <w:b w:val="1"/>
                <w:bCs w:val="1"/>
                <w:color w:val="auto"/>
                <w:w w:val="96"/>
              </w:rPr>
              <w:t>N/A</w:t>
            </w:r>
          </w:p>
        </w:tc>
      </w:tr>
      <w:tr>
        <w:trPr>
          <w:trHeight w:val="170"/>
        </w:trPr>
        <w:tc>
          <w:tcPr>
            <w:tcW w:w="5760" w:type="dxa"/>
            <w:vAlign w:val="bottom"/>
          </w:tcPr>
          <w:p>
            <w:pPr>
              <w:jc w:val="center"/>
              <w:ind w:right="3622"/>
              <w:spacing w:after="0"/>
              <w:rPr>
                <w:sz w:val="20"/>
                <w:szCs w:val="20"/>
                <w:color w:val="auto"/>
              </w:rPr>
            </w:pPr>
            <w:r>
              <w:rPr>
                <w:rFonts w:ascii="Arial" w:cs="Arial" w:eastAsia="Arial" w:hAnsi="Arial"/>
                <w:sz w:val="12"/>
                <w:szCs w:val="12"/>
                <w:b w:val="1"/>
                <w:bCs w:val="1"/>
                <w:color w:val="auto"/>
                <w:w w:val="93"/>
              </w:rPr>
              <w:t>(State or other jurisdiction of</w:t>
            </w:r>
          </w:p>
        </w:tc>
        <w:tc>
          <w:tcPr>
            <w:tcW w:w="1060" w:type="dxa"/>
            <w:vAlign w:val="bottom"/>
          </w:tcPr>
          <w:p>
            <w:pPr>
              <w:jc w:val="center"/>
              <w:ind w:left="48"/>
              <w:spacing w:after="0"/>
              <w:rPr>
                <w:sz w:val="20"/>
                <w:szCs w:val="20"/>
                <w:color w:val="auto"/>
              </w:rPr>
            </w:pPr>
            <w:r>
              <w:rPr>
                <w:rFonts w:ascii="Arial" w:cs="Arial" w:eastAsia="Arial" w:hAnsi="Arial"/>
                <w:sz w:val="12"/>
                <w:szCs w:val="12"/>
                <w:b w:val="1"/>
                <w:bCs w:val="1"/>
                <w:color w:val="auto"/>
                <w:w w:val="97"/>
              </w:rPr>
              <w:t>(I.R.S. Employer</w:t>
            </w:r>
          </w:p>
        </w:tc>
      </w:tr>
      <w:tr>
        <w:trPr>
          <w:trHeight w:val="172"/>
        </w:trPr>
        <w:tc>
          <w:tcPr>
            <w:tcW w:w="5760" w:type="dxa"/>
            <w:vAlign w:val="bottom"/>
          </w:tcPr>
          <w:p>
            <w:pPr>
              <w:jc w:val="center"/>
              <w:ind w:right="3622"/>
              <w:spacing w:after="0"/>
              <w:rPr>
                <w:sz w:val="20"/>
                <w:szCs w:val="20"/>
                <w:color w:val="auto"/>
              </w:rPr>
            </w:pPr>
            <w:r>
              <w:rPr>
                <w:rFonts w:ascii="Arial" w:cs="Arial" w:eastAsia="Arial" w:hAnsi="Arial"/>
                <w:sz w:val="12"/>
                <w:szCs w:val="12"/>
                <w:b w:val="1"/>
                <w:bCs w:val="1"/>
                <w:color w:val="auto"/>
                <w:w w:val="94"/>
              </w:rPr>
              <w:t>incorporation or organization)</w:t>
            </w:r>
          </w:p>
        </w:tc>
        <w:tc>
          <w:tcPr>
            <w:tcW w:w="1060" w:type="dxa"/>
            <w:vAlign w:val="bottom"/>
          </w:tcPr>
          <w:p>
            <w:pPr>
              <w:jc w:val="center"/>
              <w:ind w:left="28"/>
              <w:spacing w:after="0"/>
              <w:rPr>
                <w:sz w:val="20"/>
                <w:szCs w:val="20"/>
                <w:color w:val="auto"/>
              </w:rPr>
            </w:pPr>
            <w:r>
              <w:rPr>
                <w:rFonts w:ascii="Arial" w:cs="Arial" w:eastAsia="Arial" w:hAnsi="Arial"/>
                <w:sz w:val="12"/>
                <w:szCs w:val="12"/>
                <w:b w:val="1"/>
                <w:bCs w:val="1"/>
                <w:color w:val="auto"/>
                <w:w w:val="94"/>
              </w:rPr>
              <w:t>Identification No.)</w:t>
            </w:r>
          </w:p>
        </w:tc>
      </w:tr>
      <w:tr>
        <w:trPr>
          <w:trHeight w:val="506"/>
        </w:trPr>
        <w:tc>
          <w:tcPr>
            <w:tcW w:w="5760" w:type="dxa"/>
            <w:vAlign w:val="bottom"/>
          </w:tcPr>
          <w:p>
            <w:pPr>
              <w:jc w:val="center"/>
              <w:ind w:right="3622"/>
              <w:spacing w:after="0"/>
              <w:rPr>
                <w:sz w:val="20"/>
                <w:szCs w:val="20"/>
                <w:color w:val="auto"/>
              </w:rPr>
            </w:pPr>
            <w:r>
              <w:rPr>
                <w:rFonts w:ascii="Arial" w:cs="Arial" w:eastAsia="Arial" w:hAnsi="Arial"/>
                <w:sz w:val="18"/>
                <w:szCs w:val="18"/>
                <w:b w:val="1"/>
                <w:bCs w:val="1"/>
                <w:color w:val="auto"/>
                <w:w w:val="86"/>
              </w:rPr>
              <w:t>111 Peter St. Suite 300</w:t>
            </w:r>
          </w:p>
        </w:tc>
        <w:tc>
          <w:tcPr>
            <w:tcW w:w="1060" w:type="dxa"/>
            <w:vAlign w:val="bottom"/>
          </w:tcPr>
          <w:p>
            <w:pPr>
              <w:spacing w:after="0"/>
              <w:rPr>
                <w:sz w:val="24"/>
                <w:szCs w:val="24"/>
                <w:color w:val="auto"/>
              </w:rPr>
            </w:pPr>
          </w:p>
        </w:tc>
      </w:tr>
      <w:tr>
        <w:trPr>
          <w:trHeight w:val="235"/>
        </w:trPr>
        <w:tc>
          <w:tcPr>
            <w:tcW w:w="5760" w:type="dxa"/>
            <w:vAlign w:val="bottom"/>
          </w:tcPr>
          <w:p>
            <w:pPr>
              <w:jc w:val="center"/>
              <w:ind w:right="3622"/>
              <w:spacing w:after="0"/>
              <w:rPr>
                <w:sz w:val="20"/>
                <w:szCs w:val="20"/>
                <w:color w:val="auto"/>
              </w:rPr>
            </w:pPr>
            <w:r>
              <w:rPr>
                <w:rFonts w:ascii="Arial" w:cs="Arial" w:eastAsia="Arial" w:hAnsi="Arial"/>
                <w:sz w:val="18"/>
                <w:szCs w:val="18"/>
                <w:b w:val="1"/>
                <w:bCs w:val="1"/>
                <w:color w:val="auto"/>
                <w:w w:val="91"/>
              </w:rPr>
              <w:t>Toronto, Ontario</w:t>
            </w:r>
          </w:p>
        </w:tc>
        <w:tc>
          <w:tcPr>
            <w:tcW w:w="1060" w:type="dxa"/>
            <w:vAlign w:val="bottom"/>
          </w:tcPr>
          <w:p>
            <w:pPr>
              <w:jc w:val="center"/>
              <w:ind w:left="48"/>
              <w:spacing w:after="0"/>
              <w:rPr>
                <w:sz w:val="20"/>
                <w:szCs w:val="20"/>
                <w:color w:val="auto"/>
              </w:rPr>
            </w:pPr>
            <w:r>
              <w:rPr>
                <w:rFonts w:ascii="Arial" w:cs="Arial" w:eastAsia="Arial" w:hAnsi="Arial"/>
                <w:sz w:val="18"/>
                <w:szCs w:val="18"/>
                <w:b w:val="1"/>
                <w:bCs w:val="1"/>
                <w:color w:val="auto"/>
                <w:w w:val="98"/>
              </w:rPr>
              <w:t>M5V 2H1</w:t>
            </w:r>
          </w:p>
        </w:tc>
      </w:tr>
      <w:tr>
        <w:trPr>
          <w:trHeight w:val="160"/>
        </w:trPr>
        <w:tc>
          <w:tcPr>
            <w:tcW w:w="5760" w:type="dxa"/>
            <w:vAlign w:val="bottom"/>
          </w:tcPr>
          <w:p>
            <w:pPr>
              <w:jc w:val="center"/>
              <w:ind w:right="3622"/>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060" w:type="dxa"/>
            <w:vAlign w:val="bottom"/>
          </w:tcPr>
          <w:p>
            <w:pPr>
              <w:jc w:val="center"/>
              <w:ind w:left="48"/>
              <w:spacing w:after="0"/>
              <w:rPr>
                <w:sz w:val="20"/>
                <w:szCs w:val="20"/>
                <w:color w:val="auto"/>
              </w:rPr>
            </w:pPr>
            <w:r>
              <w:rPr>
                <w:rFonts w:ascii="Arial" w:cs="Arial" w:eastAsia="Arial" w:hAnsi="Arial"/>
                <w:sz w:val="12"/>
                <w:szCs w:val="12"/>
                <w:b w:val="1"/>
                <w:bCs w:val="1"/>
                <w:color w:val="auto"/>
                <w:w w:val="97"/>
              </w:rPr>
              <w:t>(Zip Code)</w:t>
            </w:r>
          </w:p>
        </w:tc>
      </w:tr>
      <w:tr>
        <w:trPr>
          <w:trHeight w:val="303"/>
        </w:trPr>
        <w:tc>
          <w:tcPr>
            <w:tcW w:w="5760" w:type="dxa"/>
            <w:vAlign w:val="bottom"/>
          </w:tcPr>
          <w:p>
            <w:pPr>
              <w:jc w:val="right"/>
              <w:ind w:right="1502"/>
              <w:spacing w:after="0"/>
              <w:rPr>
                <w:sz w:val="20"/>
                <w:szCs w:val="20"/>
                <w:color w:val="auto"/>
              </w:rPr>
            </w:pPr>
            <w:r>
              <w:rPr>
                <w:rFonts w:ascii="Arial" w:cs="Arial" w:eastAsia="Arial" w:hAnsi="Arial"/>
                <w:sz w:val="18"/>
                <w:szCs w:val="18"/>
                <w:b w:val="1"/>
                <w:bCs w:val="1"/>
                <w:color w:val="auto"/>
              </w:rPr>
              <w:t>416-504-0004</w:t>
            </w:r>
          </w:p>
        </w:tc>
        <w:tc>
          <w:tcPr>
            <w:tcW w:w="1060" w:type="dxa"/>
            <w:vAlign w:val="bottom"/>
          </w:tcPr>
          <w:p>
            <w:pPr>
              <w:spacing w:after="0"/>
              <w:rPr>
                <w:sz w:val="24"/>
                <w:szCs w:val="24"/>
                <w:color w:val="auto"/>
              </w:rPr>
            </w:pPr>
          </w:p>
        </w:tc>
      </w:tr>
      <w:tr>
        <w:trPr>
          <w:trHeight w:val="229"/>
        </w:trPr>
        <w:tc>
          <w:tcPr>
            <w:tcW w:w="5760" w:type="dxa"/>
            <w:vAlign w:val="bottom"/>
          </w:tcPr>
          <w:p>
            <w:pPr>
              <w:jc w:val="center"/>
              <w:ind w:left="1542"/>
              <w:spacing w:after="0"/>
              <w:rPr>
                <w:sz w:val="20"/>
                <w:szCs w:val="20"/>
                <w:color w:val="auto"/>
              </w:rPr>
            </w:pPr>
            <w:r>
              <w:rPr>
                <w:rFonts w:ascii="Arial" w:cs="Arial" w:eastAsia="Arial" w:hAnsi="Arial"/>
                <w:sz w:val="18"/>
                <w:szCs w:val="18"/>
                <w:b w:val="1"/>
                <w:bCs w:val="1"/>
                <w:color w:val="auto"/>
                <w:w w:val="87"/>
              </w:rPr>
              <w:t>(Registrant’s telephone number, including area code)</w:t>
            </w:r>
          </w:p>
        </w:tc>
        <w:tc>
          <w:tcPr>
            <w:tcW w:w="1060" w:type="dxa"/>
            <w:vAlign w:val="bottom"/>
          </w:tcPr>
          <w:p>
            <w:pPr>
              <w:spacing w:after="0"/>
              <w:rPr>
                <w:sz w:val="19"/>
                <w:szCs w:val="19"/>
                <w:color w:val="auto"/>
              </w:rPr>
            </w:pPr>
          </w:p>
        </w:tc>
      </w:tr>
    </w:tbl>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700" w:type="dxa"/>
        <w:tblCellMar>
          <w:top w:w="0" w:type="dxa"/>
          <w:left w:w="0" w:type="dxa"/>
          <w:bottom w:w="0" w:type="dxa"/>
          <w:right w:w="0" w:type="dxa"/>
        </w:tblCellMar>
      </w:tblPr>
      <w:tr>
        <w:trPr>
          <w:trHeight w:val="17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Title of each class</w:t>
            </w:r>
          </w:p>
        </w:tc>
        <w:tc>
          <w:tcPr>
            <w:tcW w:w="160" w:type="dxa"/>
            <w:vAlign w:val="bottom"/>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180" w:type="dxa"/>
            <w:vAlign w:val="bottom"/>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6"/>
        </w:trPr>
        <w:tc>
          <w:tcPr>
            <w:tcW w:w="3180" w:type="dxa"/>
            <w:vAlign w:val="bottom"/>
          </w:tcPr>
          <w:p>
            <w:pPr>
              <w:jc w:val="center"/>
              <w:spacing w:after="0"/>
              <w:rPr>
                <w:sz w:val="20"/>
                <w:szCs w:val="20"/>
                <w:color w:val="auto"/>
              </w:rPr>
            </w:pPr>
            <w:r>
              <w:rPr>
                <w:rFonts w:ascii="Arial" w:cs="Arial" w:eastAsia="Arial" w:hAnsi="Arial"/>
                <w:sz w:val="12"/>
                <w:szCs w:val="12"/>
                <w:color w:val="auto"/>
                <w:w w:val="92"/>
              </w:rPr>
              <w:t>Common Shares, no par value</w:t>
            </w:r>
          </w:p>
        </w:tc>
        <w:tc>
          <w:tcPr>
            <w:tcW w:w="16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Arial" w:cs="Arial" w:eastAsia="Arial" w:hAnsi="Arial"/>
                <w:sz w:val="12"/>
                <w:szCs w:val="12"/>
                <w:color w:val="auto"/>
                <w:w w:val="96"/>
              </w:rPr>
              <w:t>CRON</w:t>
            </w:r>
          </w:p>
        </w:tc>
        <w:tc>
          <w:tcPr>
            <w:tcW w:w="18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Arial" w:cs="Arial" w:eastAsia="Arial" w:hAnsi="Arial"/>
                <w:sz w:val="12"/>
                <w:szCs w:val="12"/>
                <w:color w:val="auto"/>
                <w:w w:val="95"/>
              </w:rPr>
              <w:t>The Nasdaq Stock Market LLC</w:t>
            </w:r>
          </w:p>
        </w:tc>
      </w:tr>
    </w:tbl>
    <w:p>
      <w:pPr>
        <w:spacing w:after="0" w:line="333" w:lineRule="exact"/>
        <w:rPr>
          <w:sz w:val="24"/>
          <w:szCs w:val="24"/>
          <w:color w:val="auto"/>
        </w:rPr>
      </w:pPr>
    </w:p>
    <w:p>
      <w:pPr>
        <w:ind w:right="80"/>
        <w:spacing w:after="0" w:line="352"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2"/>
          <w:szCs w:val="12"/>
          <w:color w:val="auto"/>
        </w:rPr>
        <w:t xml:space="preserve"> No </w:t>
      </w:r>
      <w:r>
        <w:rPr>
          <w:rFonts w:ascii="Arial" w:cs="Arial" w:eastAsia="Arial" w:hAnsi="Arial"/>
          <w:sz w:val="14"/>
          <w:szCs w:val="14"/>
          <w:color w:val="auto"/>
        </w:rPr>
        <w:t>o</w:t>
      </w:r>
    </w:p>
    <w:p>
      <w:pPr>
        <w:spacing w:after="0" w:line="171"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w:t>
      </w:r>
    </w:p>
    <w:p>
      <w:pPr>
        <w:spacing w:after="0" w:line="55" w:lineRule="exact"/>
        <w:rPr>
          <w:sz w:val="24"/>
          <w:szCs w:val="24"/>
          <w:color w:val="auto"/>
        </w:rPr>
      </w:pPr>
    </w:p>
    <w:p>
      <w:pPr>
        <w:spacing w:after="0"/>
        <w:tabs>
          <w:tab w:leader="none" w:pos="4620" w:val="left"/>
        </w:tabs>
        <w:rPr>
          <w:sz w:val="20"/>
          <w:szCs w:val="20"/>
          <w:color w:val="auto"/>
        </w:rPr>
      </w:pPr>
      <w:r>
        <w:rPr>
          <w:rFonts w:ascii="Arial" w:cs="Arial" w:eastAsia="Arial" w:hAnsi="Arial"/>
          <w:sz w:val="12"/>
          <w:szCs w:val="12"/>
          <w:color w:val="auto"/>
        </w:rPr>
        <w:t>(or for such shorter period that the registrant was required to submit such files).</w:t>
      </w:r>
      <w:r>
        <w:rPr>
          <w:sz w:val="20"/>
          <w:szCs w:val="20"/>
          <w:color w:val="auto"/>
        </w:rPr>
        <w:tab/>
      </w:r>
      <w:r>
        <w:rPr>
          <w:rFonts w:ascii="Arial" w:cs="Arial" w:eastAsia="Arial" w:hAnsi="Arial"/>
          <w:sz w:val="11"/>
          <w:szCs w:val="11"/>
          <w:color w:val="auto"/>
        </w:rPr>
        <w:t xml:space="preserve">Yes </w:t>
      </w:r>
      <w:r>
        <w:rPr>
          <w:rFonts w:ascii="Arial" w:cs="Arial" w:eastAsia="Arial" w:hAnsi="Arial"/>
          <w:sz w:val="13"/>
          <w:szCs w:val="13"/>
          <w:color w:val="auto"/>
        </w:rPr>
        <w:t>x</w:t>
      </w:r>
      <w:r>
        <w:rPr>
          <w:rFonts w:ascii="Arial" w:cs="Arial" w:eastAsia="Arial" w:hAnsi="Arial"/>
          <w:sz w:val="11"/>
          <w:szCs w:val="11"/>
          <w:color w:val="auto"/>
        </w:rPr>
        <w:t xml:space="preserve"> No </w:t>
      </w:r>
      <w:r>
        <w:rPr>
          <w:rFonts w:ascii="Arial" w:cs="Arial" w:eastAsia="Arial" w:hAnsi="Arial"/>
          <w:sz w:val="13"/>
          <w:szCs w:val="13"/>
          <w:color w:val="auto"/>
        </w:rPr>
        <w:t>o</w:t>
      </w:r>
    </w:p>
    <w:p>
      <w:pPr>
        <w:spacing w:after="0" w:line="266" w:lineRule="exact"/>
        <w:rPr>
          <w:sz w:val="24"/>
          <w:szCs w:val="24"/>
          <w:color w:val="auto"/>
        </w:rPr>
      </w:pPr>
    </w:p>
    <w:p>
      <w:pPr>
        <w:ind w:right="60"/>
        <w:spacing w:after="0" w:line="26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700" w:type="dxa"/>
            <w:vAlign w:val="bottom"/>
          </w:tcPr>
          <w:p>
            <w:pPr>
              <w:ind w:left="680"/>
              <w:spacing w:after="0"/>
              <w:rPr>
                <w:sz w:val="20"/>
                <w:szCs w:val="20"/>
                <w:color w:val="auto"/>
              </w:rPr>
            </w:pPr>
            <w:r>
              <w:rPr>
                <w:rFonts w:ascii="Arial" w:cs="Arial" w:eastAsia="Arial" w:hAnsi="Arial"/>
                <w:sz w:val="14"/>
                <w:szCs w:val="14"/>
                <w:color w:val="auto"/>
              </w:rPr>
              <w:t>x</w:t>
            </w:r>
          </w:p>
        </w:tc>
        <w:tc>
          <w:tcPr>
            <w:tcW w:w="4880" w:type="dxa"/>
            <w:vAlign w:val="bottom"/>
          </w:tcPr>
          <w:p>
            <w:pPr>
              <w:ind w:left="2960"/>
              <w:spacing w:after="0"/>
              <w:rPr>
                <w:sz w:val="20"/>
                <w:szCs w:val="20"/>
                <w:color w:val="auto"/>
              </w:rPr>
            </w:pPr>
            <w:r>
              <w:rPr>
                <w:rFonts w:ascii="Arial" w:cs="Arial" w:eastAsia="Arial" w:hAnsi="Arial"/>
                <w:sz w:val="12"/>
                <w:szCs w:val="12"/>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6"/>
        </w:trPr>
        <w:tc>
          <w:tcPr>
            <w:tcW w:w="1800" w:type="dxa"/>
            <w:vAlign w:val="bottom"/>
          </w:tcPr>
          <w:p>
            <w:pPr>
              <w:spacing w:after="0"/>
              <w:rPr>
                <w:sz w:val="20"/>
                <w:szCs w:val="20"/>
                <w:color w:val="auto"/>
              </w:rPr>
            </w:pPr>
            <w:r>
              <w:rPr>
                <w:rFonts w:ascii="Arial" w:cs="Arial" w:eastAsia="Arial" w:hAnsi="Arial"/>
                <w:sz w:val="12"/>
                <w:szCs w:val="12"/>
                <w:color w:val="auto"/>
              </w:rPr>
              <w:t>Non-accelerated filer</w:t>
            </w:r>
          </w:p>
        </w:tc>
        <w:tc>
          <w:tcPr>
            <w:tcW w:w="3700" w:type="dxa"/>
            <w:vAlign w:val="bottom"/>
          </w:tcPr>
          <w:p>
            <w:pPr>
              <w:ind w:left="680"/>
              <w:spacing w:after="0"/>
              <w:rPr>
                <w:sz w:val="20"/>
                <w:szCs w:val="20"/>
                <w:color w:val="auto"/>
              </w:rPr>
            </w:pPr>
            <w:r>
              <w:rPr>
                <w:rFonts w:ascii="Arial" w:cs="Arial" w:eastAsia="Arial" w:hAnsi="Arial"/>
                <w:sz w:val="14"/>
                <w:szCs w:val="14"/>
                <w:color w:val="auto"/>
              </w:rPr>
              <w:t>o</w:t>
            </w:r>
          </w:p>
        </w:tc>
        <w:tc>
          <w:tcPr>
            <w:tcW w:w="4880" w:type="dxa"/>
            <w:vAlign w:val="bottom"/>
          </w:tcPr>
          <w:p>
            <w:pPr>
              <w:ind w:left="2960"/>
              <w:spacing w:after="0"/>
              <w:rPr>
                <w:sz w:val="20"/>
                <w:szCs w:val="20"/>
                <w:color w:val="auto"/>
              </w:rPr>
            </w:pPr>
            <w:r>
              <w:rPr>
                <w:rFonts w:ascii="Arial" w:cs="Arial" w:eastAsia="Arial" w:hAnsi="Arial"/>
                <w:sz w:val="12"/>
                <w:szCs w:val="12"/>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8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880" w:type="dxa"/>
            <w:vAlign w:val="bottom"/>
          </w:tcPr>
          <w:p>
            <w:pPr>
              <w:ind w:left="2960"/>
              <w:spacing w:after="0"/>
              <w:rPr>
                <w:sz w:val="20"/>
                <w:szCs w:val="20"/>
                <w:color w:val="auto"/>
              </w:rPr>
            </w:pPr>
            <w:r>
              <w:rPr>
                <w:rFonts w:ascii="Arial" w:cs="Arial" w:eastAsia="Arial" w:hAnsi="Arial"/>
                <w:sz w:val="12"/>
                <w:szCs w:val="12"/>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460"/>
        <w:spacing w:after="0" w:line="292"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193" w:lineRule="exact"/>
        <w:rPr>
          <w:sz w:val="24"/>
          <w:szCs w:val="24"/>
          <w:color w:val="auto"/>
        </w:rPr>
      </w:pPr>
    </w:p>
    <w:p>
      <w:pPr>
        <w:spacing w:after="0" w:line="150" w:lineRule="exact"/>
        <w:tabs>
          <w:tab w:leader="none" w:pos="5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3"/>
          <w:szCs w:val="13"/>
          <w:color w:val="auto"/>
        </w:rPr>
        <w:t>☐</w:t>
      </w:r>
      <w:r>
        <w:rPr>
          <w:rFonts w:ascii="Arial" w:cs="Arial" w:eastAsia="Arial" w:hAnsi="Arial"/>
          <w:sz w:val="11"/>
          <w:szCs w:val="11"/>
          <w:color w:val="auto"/>
        </w:rPr>
        <w:t xml:space="preserve"> No </w:t>
      </w:r>
      <w:r>
        <w:rPr>
          <w:rFonts w:ascii="Arial" w:cs="Arial" w:eastAsia="Arial" w:hAnsi="Arial"/>
          <w:sz w:val="13"/>
          <w:szCs w:val="13"/>
          <w:color w:val="auto"/>
        </w:rPr>
        <w:t>x</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As of August 4, 2023, there were 381,089,357 common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8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w w:val="86"/>
              </w:rPr>
              <w:t>Table of Contents</w:t>
            </w:r>
          </w:p>
        </w:tc>
      </w:tr>
      <w:tr>
        <w:trPr>
          <w:trHeight w:val="530"/>
        </w:trPr>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jc w:val="center"/>
              <w:ind w:right="1312"/>
              <w:spacing w:after="0"/>
              <w:rPr>
                <w:sz w:val="20"/>
                <w:szCs w:val="20"/>
                <w:color w:val="auto"/>
              </w:rPr>
            </w:pPr>
            <w:r>
              <w:rPr>
                <w:rFonts w:ascii="Arial" w:cs="Arial" w:eastAsia="Arial" w:hAnsi="Arial"/>
                <w:sz w:val="18"/>
                <w:szCs w:val="18"/>
                <w:b w:val="1"/>
                <w:bCs w:val="1"/>
                <w:color w:val="auto"/>
                <w:w w:val="94"/>
              </w:rPr>
              <w:t>PART I</w:t>
            </w:r>
          </w:p>
        </w:tc>
      </w:tr>
      <w:tr>
        <w:trPr>
          <w:trHeight w:val="252"/>
        </w:trPr>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8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rPr>
              <w:t>FINANCIAL INFORMATION</w:t>
            </w:r>
          </w:p>
        </w:tc>
      </w:tr>
      <w:tr>
        <w:trPr>
          <w:trHeight w:val="187"/>
        </w:trPr>
        <w:tc>
          <w:tcPr>
            <w:tcW w:w="1180" w:type="dxa"/>
            <w:vAlign w:val="bottom"/>
          </w:tcPr>
          <w:p>
            <w:pPr>
              <w:spacing w:after="0" w:line="187" w:lineRule="exact"/>
              <w:rPr>
                <w:sz w:val="20"/>
                <w:szCs w:val="20"/>
                <w:color w:val="auto"/>
              </w:rPr>
            </w:pPr>
            <w:r>
              <w:rPr>
                <w:rFonts w:ascii="Arial" w:cs="Arial" w:eastAsia="Arial" w:hAnsi="Arial"/>
                <w:sz w:val="18"/>
                <w:szCs w:val="18"/>
                <w:color w:val="auto"/>
              </w:rPr>
              <w:t>Item 1.</w:t>
            </w:r>
          </w:p>
        </w:tc>
        <w:tc>
          <w:tcPr>
            <w:tcW w:w="6380" w:type="dxa"/>
            <w:vAlign w:val="bottom"/>
            <w:gridSpan w:val="10"/>
          </w:tcPr>
          <w:p>
            <w:pPr>
              <w:spacing w:after="0" w:line="187" w:lineRule="exact"/>
              <w:rPr>
                <w:sz w:val="20"/>
                <w:szCs w:val="20"/>
                <w:color w:val="auto"/>
              </w:rPr>
            </w:pPr>
            <w:r>
              <w:rPr>
                <w:rFonts w:ascii="Arial" w:cs="Arial" w:eastAsia="Arial" w:hAnsi="Arial"/>
                <w:sz w:val="18"/>
                <w:szCs w:val="18"/>
                <w:color w:val="0000FF"/>
              </w:rPr>
              <w:t>Financial Statements.</w:t>
            </w: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2"/>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63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r>
      <w:tr>
        <w:trPr>
          <w:trHeight w:val="245"/>
        </w:trPr>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040" w:type="dxa"/>
            <w:vAlign w:val="bottom"/>
          </w:tcPr>
          <w:p>
            <w:pPr>
              <w:spacing w:after="0"/>
              <w:rPr>
                <w:sz w:val="21"/>
                <w:szCs w:val="2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638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r>
      <w:tr>
        <w:trPr>
          <w:trHeight w:val="531"/>
        </w:trPr>
        <w:tc>
          <w:tcPr>
            <w:tcW w:w="1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jc w:val="center"/>
              <w:ind w:right="1312"/>
              <w:spacing w:after="0"/>
              <w:rPr>
                <w:sz w:val="20"/>
                <w:szCs w:val="20"/>
                <w:color w:val="auto"/>
              </w:rPr>
            </w:pPr>
            <w:r>
              <w:rPr>
                <w:rFonts w:ascii="Arial" w:cs="Arial" w:eastAsia="Arial" w:hAnsi="Arial"/>
                <w:sz w:val="18"/>
                <w:szCs w:val="18"/>
                <w:b w:val="1"/>
                <w:bCs w:val="1"/>
                <w:color w:val="auto"/>
                <w:w w:val="99"/>
              </w:rPr>
              <w:t>PART II</w:t>
            </w:r>
          </w:p>
        </w:tc>
      </w:tr>
      <w:tr>
        <w:trPr>
          <w:trHeight w:val="229"/>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8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rPr>
              <w:t>OTHER INFORMATION</w:t>
            </w:r>
          </w:p>
        </w:tc>
      </w:tr>
      <w:tr>
        <w:trPr>
          <w:trHeight w:val="200"/>
        </w:trPr>
        <w:tc>
          <w:tcPr>
            <w:tcW w:w="1180" w:type="dxa"/>
            <w:vAlign w:val="bottom"/>
          </w:tcPr>
          <w:p>
            <w:pPr>
              <w:spacing w:after="0" w:line="200" w:lineRule="exact"/>
              <w:rPr>
                <w:sz w:val="20"/>
                <w:szCs w:val="20"/>
                <w:color w:val="auto"/>
              </w:rPr>
            </w:pPr>
            <w:r>
              <w:rPr>
                <w:rFonts w:ascii="Arial" w:cs="Arial" w:eastAsia="Arial" w:hAnsi="Arial"/>
                <w:sz w:val="18"/>
                <w:szCs w:val="18"/>
                <w:color w:val="auto"/>
              </w:rPr>
              <w:t>Item 1.</w:t>
            </w:r>
          </w:p>
        </w:tc>
        <w:tc>
          <w:tcPr>
            <w:tcW w:w="1360" w:type="dxa"/>
            <w:vAlign w:val="bottom"/>
            <w:tcBorders>
              <w:bottom w:val="single" w:sz="8" w:color="0000FF"/>
            </w:tcBorders>
            <w:gridSpan w:val="4"/>
          </w:tcPr>
          <w:p>
            <w:pPr>
              <w:spacing w:after="0" w:line="200" w:lineRule="exact"/>
              <w:rPr>
                <w:sz w:val="20"/>
                <w:szCs w:val="20"/>
                <w:color w:val="auto"/>
              </w:rPr>
            </w:pPr>
            <w:r>
              <w:rPr>
                <w:rFonts w:ascii="Arial" w:cs="Arial" w:eastAsia="Arial" w:hAnsi="Arial"/>
                <w:sz w:val="18"/>
                <w:szCs w:val="18"/>
                <w:color w:val="0000FF"/>
                <w:w w:val="86"/>
              </w:rPr>
              <w:t>Legal Proceedings.</w:t>
            </w:r>
          </w:p>
        </w:tc>
        <w:tc>
          <w:tcPr>
            <w:tcW w:w="5020" w:type="dxa"/>
            <w:vAlign w:val="bottom"/>
            <w:gridSpan w:val="6"/>
          </w:tcPr>
          <w:p>
            <w:pPr>
              <w:spacing w:after="0"/>
              <w:rPr>
                <w:sz w:val="17"/>
                <w:szCs w:val="17"/>
                <w:color w:val="auto"/>
              </w:rPr>
            </w:pPr>
          </w:p>
        </w:tc>
      </w:tr>
      <w:tr>
        <w:trPr>
          <w:trHeight w:val="232"/>
        </w:trPr>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5440" w:type="dxa"/>
            <w:vAlign w:val="bottom"/>
            <w:gridSpan w:val="8"/>
          </w:tcPr>
          <w:p>
            <w:pPr>
              <w:spacing w:after="0"/>
              <w:rPr>
                <w:sz w:val="20"/>
                <w:szCs w:val="20"/>
                <w:color w:val="auto"/>
              </w:rPr>
            </w:pPr>
          </w:p>
        </w:tc>
      </w:tr>
      <w:tr>
        <w:trPr>
          <w:trHeight w:val="430"/>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Unregistered Sales of Equity Securities and Use of Proceeds.</w:t>
            </w:r>
          </w:p>
        </w:tc>
        <w:tc>
          <w:tcPr>
            <w:tcW w:w="2060" w:type="dxa"/>
            <w:vAlign w:val="bottom"/>
            <w:gridSpan w:val="2"/>
          </w:tcPr>
          <w:p>
            <w:pPr>
              <w:spacing w:after="0"/>
              <w:rPr>
                <w:sz w:val="24"/>
                <w:szCs w:val="24"/>
                <w:color w:val="auto"/>
              </w:rPr>
            </w:pPr>
          </w:p>
        </w:tc>
      </w:tr>
      <w:tr>
        <w:trPr>
          <w:trHeight w:val="205"/>
        </w:trPr>
        <w:tc>
          <w:tcPr>
            <w:tcW w:w="11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8"/>
              </w:rPr>
              <w:t>Defaults upon Senior Securities.</w:t>
            </w:r>
          </w:p>
        </w:tc>
        <w:tc>
          <w:tcPr>
            <w:tcW w:w="4080" w:type="dxa"/>
            <w:vAlign w:val="bottom"/>
            <w:gridSpan w:val="3"/>
          </w:tcPr>
          <w:p>
            <w:pPr>
              <w:spacing w:after="0"/>
              <w:rPr>
                <w:sz w:val="17"/>
                <w:szCs w:val="17"/>
                <w:color w:val="auto"/>
              </w:rPr>
            </w:pPr>
          </w:p>
        </w:tc>
      </w:tr>
      <w:tr>
        <w:trPr>
          <w:trHeight w:val="218"/>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8"/>
              </w:rPr>
              <w:t>Mine Safety Disclosures.</w:t>
            </w:r>
          </w:p>
        </w:tc>
        <w:tc>
          <w:tcPr>
            <w:tcW w:w="4600" w:type="dxa"/>
            <w:vAlign w:val="bottom"/>
            <w:gridSpan w:val="4"/>
          </w:tcPr>
          <w:p>
            <w:pPr>
              <w:spacing w:after="0"/>
              <w:rPr>
                <w:sz w:val="19"/>
                <w:szCs w:val="19"/>
                <w:color w:val="auto"/>
              </w:rPr>
            </w:pPr>
          </w:p>
        </w:tc>
      </w:tr>
      <w:tr>
        <w:trPr>
          <w:trHeight w:val="232"/>
        </w:trPr>
        <w:tc>
          <w:tcPr>
            <w:tcW w:w="1180" w:type="dxa"/>
            <w:vAlign w:val="bottom"/>
          </w:tcPr>
          <w:p>
            <w:pPr>
              <w:spacing w:after="0"/>
              <w:rPr>
                <w:sz w:val="20"/>
                <w:szCs w:val="20"/>
                <w:color w:val="auto"/>
              </w:rPr>
            </w:pPr>
            <w:r>
              <w:rPr>
                <w:rFonts w:ascii="Arial" w:cs="Arial" w:eastAsia="Arial" w:hAnsi="Arial"/>
                <w:sz w:val="18"/>
                <w:szCs w:val="18"/>
                <w:color w:val="auto"/>
              </w:rPr>
              <w:t>Item 5.</w:t>
            </w:r>
          </w:p>
        </w:tc>
        <w:tc>
          <w:tcPr>
            <w:tcW w:w="13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Other Information.</w:t>
            </w:r>
          </w:p>
        </w:tc>
        <w:tc>
          <w:tcPr>
            <w:tcW w:w="5040" w:type="dxa"/>
            <w:vAlign w:val="bottom"/>
            <w:gridSpan w:val="7"/>
          </w:tcPr>
          <w:p>
            <w:pPr>
              <w:spacing w:after="0"/>
              <w:rPr>
                <w:sz w:val="20"/>
                <w:szCs w:val="20"/>
                <w:color w:val="auto"/>
              </w:rPr>
            </w:pPr>
          </w:p>
        </w:tc>
      </w:tr>
      <w:tr>
        <w:trPr>
          <w:trHeight w:val="218"/>
        </w:trPr>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5740" w:type="dxa"/>
            <w:vAlign w:val="bottom"/>
            <w:gridSpan w:val="9"/>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E32E1"/>
        </w:rPr>
        <w:t>3</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0E32E1"/>
        </w:rPr>
        <w:t>27</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0E32E1"/>
        </w:rPr>
        <w:t>43</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0E32E1"/>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0E32E1"/>
        </w:rPr>
        <w:t>45</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0E32E1"/>
        </w:rPr>
        <w:t>46</w:t>
      </w:r>
    </w:p>
    <w:p>
      <w:pPr>
        <w:spacing w:after="0" w:line="225" w:lineRule="exact"/>
        <w:rPr>
          <w:sz w:val="20"/>
          <w:szCs w:val="20"/>
          <w:color w:val="auto"/>
        </w:rPr>
      </w:pPr>
    </w:p>
    <w:p>
      <w:pPr>
        <w:sectPr>
          <w:pgSz w:w="11900" w:h="16838" w:orient="portrait"/>
          <w:cols w:equalWidth="0" w:num="2">
            <w:col w:w="10320" w:space="720"/>
            <w:col w:w="200"/>
          </w:cols>
          <w:pgMar w:left="320" w:top="810" w:right="339" w:bottom="1440" w:gutter="0" w:footer="0" w:header="0"/>
        </w:sectPr>
      </w:pPr>
    </w:p>
    <w:p>
      <w:pPr>
        <w:spacing w:after="0" w:line="3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Unless otherwise noted or the context indicates otherwise, references in this Quarterly Report on Form 10-Q (this “Quarterly Report”) to the “Company”, “Cronos Group”, “we”, “us” and “our” refer to Cronos Group Inc., its direct and indirect wholly owned subsidiaries and, if applicable, its joint ventures and investments accounted for by the equity method; the term “cannabis” means the plant of any species or subspecies of genus </w:t>
      </w:r>
      <w:r>
        <w:rPr>
          <w:rFonts w:ascii="Arial" w:cs="Arial" w:eastAsia="Arial" w:hAnsi="Arial"/>
          <w:sz w:val="17"/>
          <w:szCs w:val="17"/>
          <w:i w:val="1"/>
          <w:iCs w:val="1"/>
          <w:color w:val="auto"/>
        </w:rPr>
        <w:t>Cannabis</w:t>
      </w:r>
      <w:r>
        <w:rPr>
          <w:rFonts w:ascii="Arial" w:cs="Arial" w:eastAsia="Arial" w:hAnsi="Arial"/>
          <w:sz w:val="17"/>
          <w:szCs w:val="17"/>
          <w:color w:val="auto"/>
        </w:rPr>
        <w:t xml:space="preserve"> and any part of that plant, including all derivatives, extracts, cannabinoids, isomers, acids, salts, and salts of isomers; the term “U.S. hemp” has the meaning given to term “hemp” in the United States (“U.S.”). Agricultural Improvement Act of 2018 (the “2018 Farm Bill”), including hemp-derived cannabidiol (“CBD”); and the term “U.S. Schedule I cannabis” means cannabis excluding U.S. hemp.</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contains references to our trademarks and trade names and to trademarks and trade names belonging to other entities. Solely for convenience, trademarks and trade names referred to in this Quarterly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 In addition, this Quarterly Report includes website addresses. These website addresses are intended to provide inactive, textual references only. The information on or referred to on these websites is not part of or incorporated into this Quarterly Report.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currency amounts in this Quarterly Report are stated in U.S. dollars, which is our reporting currency, unless otherwise noted. All references to “dollars” or “$” are to U.S. dollars; all references to “C$” are to Canadian dollars; all references to “A$” are to Australian dollars; and all references to “ILS” are to New Israeli Shekels.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C$ per $)</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16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2022</w:t>
            </w: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1.3554</w:t>
            </w: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Year-to-date average rate</w:t>
            </w:r>
          </w:p>
        </w:tc>
        <w:tc>
          <w:tcPr>
            <w:tcW w:w="1640" w:type="dxa"/>
            <w:vAlign w:val="bottom"/>
          </w:tcPr>
          <w:p>
            <w:pPr>
              <w:jc w:val="right"/>
              <w:spacing w:after="0"/>
              <w:rPr>
                <w:sz w:val="20"/>
                <w:szCs w:val="20"/>
                <w:color w:val="auto"/>
              </w:rPr>
            </w:pPr>
            <w:r>
              <w:rPr>
                <w:rFonts w:ascii="Arial" w:cs="Arial" w:eastAsia="Arial" w:hAnsi="Arial"/>
                <w:sz w:val="18"/>
                <w:szCs w:val="18"/>
                <w:color w:val="auto"/>
              </w:rPr>
              <w:t>1.3474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06"/>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ILS per $)</w:t>
            </w:r>
          </w:p>
        </w:tc>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91"/>
        </w:trPr>
        <w:tc>
          <w:tcPr>
            <w:tcW w:w="59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2022</w:t>
            </w:r>
          </w:p>
        </w:tc>
      </w:tr>
      <w:tr>
        <w:trPr>
          <w:trHeight w:val="225"/>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3.5178</w:t>
            </w: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Year-to-date average rate</w:t>
            </w:r>
          </w:p>
        </w:tc>
        <w:tc>
          <w:tcPr>
            <w:tcW w:w="1640" w:type="dxa"/>
            <w:vAlign w:val="bottom"/>
          </w:tcPr>
          <w:p>
            <w:pPr>
              <w:jc w:val="right"/>
              <w:spacing w:after="0"/>
              <w:rPr>
                <w:sz w:val="20"/>
                <w:szCs w:val="20"/>
                <w:color w:val="auto"/>
              </w:rPr>
            </w:pPr>
            <w:r>
              <w:rPr>
                <w:rFonts w:ascii="Arial" w:cs="Arial" w:eastAsia="Arial" w:hAnsi="Arial"/>
                <w:sz w:val="18"/>
                <w:szCs w:val="18"/>
                <w:color w:val="auto"/>
              </w:rPr>
              <w:t>3.5892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3.2670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All summaries of agreements described herein are qualified by the full text of such agreements (certain of which have been filed as exhibits with the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8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9"/>
                <w:szCs w:val="19"/>
                <w:color w:val="auto"/>
              </w:rPr>
            </w:pPr>
          </w:p>
        </w:tc>
      </w:tr>
      <w:tr>
        <w:trPr>
          <w:trHeight w:val="452"/>
        </w:trPr>
        <w:tc>
          <w:tcPr>
            <w:tcW w:w="10400" w:type="dxa"/>
            <w:vAlign w:val="bottom"/>
            <w:gridSpan w:val="7"/>
          </w:tcPr>
          <w:p>
            <w:pPr>
              <w:spacing w:after="0"/>
              <w:rPr>
                <w:sz w:val="20"/>
                <w:szCs w:val="20"/>
                <w:color w:val="auto"/>
              </w:rPr>
            </w:pPr>
            <w:r>
              <w:rPr>
                <w:rFonts w:ascii="Arial" w:cs="Arial" w:eastAsia="Arial" w:hAnsi="Arial"/>
                <w:sz w:val="18"/>
                <w:szCs w:val="18"/>
                <w:color w:val="0E32E1"/>
              </w:rPr>
              <w:t>Condensed Consolidated Balance Sheets as of June 30, 2023 (Unaudited)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0E32E1"/>
              </w:rPr>
              <w:t>4</w:t>
            </w:r>
          </w:p>
        </w:tc>
      </w:tr>
      <w:tr>
        <w:trPr>
          <w:trHeight w:val="20"/>
        </w:trPr>
        <w:tc>
          <w:tcPr>
            <w:tcW w:w="37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210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1040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87"/>
              </w:rPr>
              <w:t>Condensed Consolidated Statements of Net Loss and Comprehensive Loss for the three and six months ended June 30, 2023 and 2022 (Unaudited)</w:t>
            </w:r>
          </w:p>
        </w:tc>
        <w:tc>
          <w:tcPr>
            <w:tcW w:w="800" w:type="dxa"/>
            <w:vAlign w:val="bottom"/>
          </w:tcPr>
          <w:p>
            <w:pPr>
              <w:jc w:val="right"/>
              <w:spacing w:after="0"/>
              <w:rPr>
                <w:sz w:val="20"/>
                <w:szCs w:val="20"/>
                <w:color w:val="auto"/>
              </w:rPr>
            </w:pPr>
            <w:r>
              <w:rPr>
                <w:rFonts w:ascii="Arial" w:cs="Arial" w:eastAsia="Arial" w:hAnsi="Arial"/>
                <w:sz w:val="18"/>
                <w:szCs w:val="18"/>
                <w:color w:val="0E32E1"/>
              </w:rPr>
              <w:t>5</w:t>
            </w:r>
          </w:p>
        </w:tc>
      </w:tr>
      <w:tr>
        <w:trPr>
          <w:trHeight w:val="205"/>
        </w:trPr>
        <w:tc>
          <w:tcPr>
            <w:tcW w:w="10400" w:type="dxa"/>
            <w:vAlign w:val="bottom"/>
            <w:gridSpan w:val="7"/>
          </w:tcPr>
          <w:p>
            <w:pPr>
              <w:spacing w:after="0" w:line="205" w:lineRule="exact"/>
              <w:rPr>
                <w:sz w:val="20"/>
                <w:szCs w:val="20"/>
                <w:color w:val="auto"/>
              </w:rPr>
            </w:pPr>
            <w:r>
              <w:rPr>
                <w:rFonts w:ascii="Arial" w:cs="Arial" w:eastAsia="Arial" w:hAnsi="Arial"/>
                <w:sz w:val="18"/>
                <w:szCs w:val="18"/>
                <w:color w:val="0000FF"/>
                <w:w w:val="98"/>
              </w:rPr>
              <w:t xml:space="preserve">Condensed Consolidated Statements of Changes in Equity </w:t>
            </w:r>
            <w:r>
              <w:rPr>
                <w:rFonts w:ascii="Arial" w:cs="Arial" w:eastAsia="Arial" w:hAnsi="Arial"/>
                <w:sz w:val="18"/>
                <w:szCs w:val="18"/>
                <w:color w:val="0E32E1"/>
                <w:w w:val="98"/>
              </w:rPr>
              <w:t>for the three and six months ended June 30, 2023 and 2022 (Unaudited)</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0E32E1"/>
              </w:rPr>
              <w:t>6</w:t>
            </w:r>
          </w:p>
        </w:tc>
      </w:tr>
      <w:tr>
        <w:trPr>
          <w:trHeight w:val="20"/>
        </w:trPr>
        <w:tc>
          <w:tcPr>
            <w:tcW w:w="3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3240" w:type="dxa"/>
            <w:vAlign w:val="bottom"/>
            <w:gridSpan w:val="2"/>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10400" w:type="dxa"/>
            <w:vAlign w:val="bottom"/>
            <w:gridSpan w:val="7"/>
          </w:tcPr>
          <w:p>
            <w:pPr>
              <w:spacing w:after="0" w:line="205" w:lineRule="exact"/>
              <w:rPr>
                <w:sz w:val="20"/>
                <w:szCs w:val="20"/>
                <w:color w:val="auto"/>
              </w:rPr>
            </w:pPr>
            <w:r>
              <w:rPr>
                <w:rFonts w:ascii="Arial" w:cs="Arial" w:eastAsia="Arial" w:hAnsi="Arial"/>
                <w:sz w:val="18"/>
                <w:szCs w:val="18"/>
                <w:color w:val="0000FF"/>
              </w:rPr>
              <w:t xml:space="preserve">Condensed Consolidated Statements of Cash Flows </w:t>
            </w:r>
            <w:r>
              <w:rPr>
                <w:rFonts w:ascii="Arial" w:cs="Arial" w:eastAsia="Arial" w:hAnsi="Arial"/>
                <w:sz w:val="18"/>
                <w:szCs w:val="18"/>
                <w:color w:val="0E32E1"/>
              </w:rPr>
              <w:t>for the six months ended June 30, 2023 and 2022 (Unaudited)</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0E32E1"/>
              </w:rPr>
              <w:t>7</w:t>
            </w:r>
          </w:p>
        </w:tc>
      </w:tr>
      <w:tr>
        <w:trPr>
          <w:trHeight w:val="20"/>
        </w:trPr>
        <w:tc>
          <w:tcPr>
            <w:tcW w:w="37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E32E1"/>
          </w:tcPr>
          <w:p>
            <w:pPr>
              <w:spacing w:after="0" w:line="20" w:lineRule="exact"/>
              <w:rPr>
                <w:sz w:val="1"/>
                <w:szCs w:val="1"/>
                <w:color w:val="auto"/>
              </w:rPr>
            </w:pPr>
          </w:p>
        </w:tc>
        <w:tc>
          <w:tcPr>
            <w:tcW w:w="3240" w:type="dxa"/>
            <w:vAlign w:val="bottom"/>
            <w:gridSpan w:val="2"/>
            <w:shd w:val="clear" w:color="auto" w:fill="0E32E1"/>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10400" w:type="dxa"/>
            <w:vAlign w:val="bottom"/>
            <w:gridSpan w:val="7"/>
          </w:tcPr>
          <w:p>
            <w:pPr>
              <w:spacing w:after="0"/>
              <w:rPr>
                <w:sz w:val="20"/>
                <w:szCs w:val="20"/>
                <w:color w:val="auto"/>
              </w:rPr>
            </w:pPr>
            <w:r>
              <w:rPr>
                <w:rFonts w:ascii="Arial" w:cs="Arial" w:eastAsia="Arial" w:hAnsi="Arial"/>
                <w:sz w:val="18"/>
                <w:szCs w:val="18"/>
                <w:color w:val="0E32E1"/>
              </w:rPr>
              <w:t xml:space="preserve">Notes to </w:t>
            </w:r>
            <w:r>
              <w:rPr>
                <w:rFonts w:ascii="Arial" w:cs="Arial" w:eastAsia="Arial" w:hAnsi="Arial"/>
                <w:sz w:val="18"/>
                <w:szCs w:val="18"/>
                <w:color w:val="0E32E1"/>
                <w:highlight w:val="white"/>
              </w:rPr>
              <w:t>Condensed</w:t>
            </w:r>
            <w:r>
              <w:rPr>
                <w:rFonts w:ascii="Arial" w:cs="Arial" w:eastAsia="Arial" w:hAnsi="Arial"/>
                <w:sz w:val="18"/>
                <w:szCs w:val="18"/>
                <w:color w:val="0E32E1"/>
              </w:rPr>
              <w:t xml:space="preserve">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0E32E1"/>
              </w:rPr>
              <w:t>8</w:t>
            </w:r>
          </w:p>
        </w:tc>
      </w:tr>
      <w:tr>
        <w:trPr>
          <w:trHeight w:val="20"/>
        </w:trPr>
        <w:tc>
          <w:tcPr>
            <w:tcW w:w="37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Cronos Group Inc.</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3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(In thousands of U.S. dollars, except share amounts)</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Borders>
              <w:bottom w:val="single" w:sz="8" w:color="0000FF"/>
            </w:tcBorders>
          </w:tcPr>
          <w:p>
            <w:pPr>
              <w:jc w:val="right"/>
              <w:spacing w:after="0" w:line="187" w:lineRule="exact"/>
              <w:rPr>
                <w:sz w:val="20"/>
                <w:szCs w:val="20"/>
                <w:color w:val="auto"/>
              </w:rPr>
            </w:pPr>
            <w:r>
              <w:rPr>
                <w:rFonts w:ascii="Arial" w:cs="Arial" w:eastAsia="Arial" w:hAnsi="Arial"/>
                <w:sz w:val="18"/>
                <w:szCs w:val="18"/>
                <w:color w:val="0000FF"/>
                <w:w w:val="85"/>
              </w:rPr>
              <w:t>Table of Contents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3"/>
        </w:trPr>
        <w:tc>
          <w:tcPr>
            <w:tcW w:w="7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As of June 30, 2023</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0"/>
              </w:rPr>
              <w:t>As of December 31, 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764,644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431,510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113,077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40" w:type="dxa"/>
            <w:vAlign w:val="bottom"/>
          </w:tcPr>
          <w:p>
            <w:pPr>
              <w:ind w:left="120"/>
              <w:spacing w:after="0"/>
              <w:rPr>
                <w:sz w:val="20"/>
                <w:szCs w:val="20"/>
                <w:color w:val="auto"/>
              </w:rPr>
            </w:pPr>
            <w:r>
              <w:rPr>
                <w:rFonts w:ascii="Arial" w:cs="Arial" w:eastAsia="Arial" w:hAnsi="Arial"/>
                <w:sz w:val="18"/>
                <w:szCs w:val="18"/>
                <w:color w:val="auto"/>
              </w:rPr>
              <w:t>Current portion of loans receivable, net</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Prepaids and other 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924,774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960,156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Equity method investments,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17,646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70,993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Non-current portion of loans receivable,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71,080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25,462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1,168,347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1,213,009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7340" w:type="dxa"/>
            <w:vAlign w:val="bottom"/>
            <w:tcBorders>
              <w:bottom w:val="single" w:sz="8" w:color="CCEEFF"/>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1640" w:type="dxa"/>
            <w:vAlign w:val="bottom"/>
            <w:tcBorders>
              <w:top w:val="single" w:sz="8" w:color="auto"/>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9,340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11,163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32,956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lease obligation</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portion due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27,926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68,116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due to non-controlling interests</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Non-current portion of lease obligation</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31,674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73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Share capital (authorized for issue as of June 30, 2023 and December 31, 2022: unlimited; shares</w:t>
            </w:r>
          </w:p>
        </w:tc>
        <w:tc>
          <w:tcPr>
            <w:tcW w:w="2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613,152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611,318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outstanding as of June 30, 2023 and December 31, 2022: 381,089,357 and 380,575,403, respectively)</w:t>
            </w:r>
          </w:p>
        </w:tc>
        <w:tc>
          <w:tcPr>
            <w:tcW w:w="24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3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45,317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42,682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463,153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490,682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 attributable to shareholders of Cronos Group</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1,139,689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1,143,885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1,136,673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1,140,964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1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1,168,347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1,213,009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Net Loss and Comprehensive Income (Loss)</w:t>
      </w:r>
    </w:p>
    <w:p>
      <w:pPr>
        <w:spacing w:after="0" w:line="4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8"/>
          <w:szCs w:val="18"/>
          <w:i w:val="1"/>
          <w:iCs w:val="1"/>
          <w:color w:val="auto"/>
        </w:rPr>
        <w:t>(In thousands of U.S dollars, except share and per share amounts, unaudited)</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before excise taxes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54,173</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Excise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31"/>
        </w:trPr>
        <w:tc>
          <w:tcPr>
            <w:tcW w:w="5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37,417</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3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Impairment loss on long-lived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6"/>
        </w:trPr>
        <w:tc>
          <w:tcPr>
            <w:tcW w:w="5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68,094</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(57,062)</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Gain (loss) on revaluation of derivative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13,829</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of income (loss)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31"/>
        </w:trPr>
        <w:tc>
          <w:tcPr>
            <w:tcW w:w="5780" w:type="dxa"/>
            <w:vAlign w:val="bottom"/>
          </w:tcPr>
          <w:p>
            <w:pPr>
              <w:ind w:left="140"/>
              <w:spacing w:after="0"/>
              <w:rPr>
                <w:sz w:val="20"/>
                <w:szCs w:val="20"/>
                <w:color w:val="auto"/>
              </w:rPr>
            </w:pPr>
            <w:r>
              <w:rPr>
                <w:rFonts w:ascii="Arial" w:cs="Arial" w:eastAsia="Arial" w:hAnsi="Arial"/>
                <w:sz w:val="18"/>
                <w:szCs w:val="18"/>
                <w:color w:val="auto"/>
              </w:rPr>
              <w:t>Gain (loss) on revaluation of financial instruments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loss on other investments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Foreign currency transaction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(45,892)</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(52,991)</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Net loss attributable to Cronos Group</w:t>
            </w:r>
          </w:p>
        </w:tc>
        <w:tc>
          <w:tcPr>
            <w:tcW w:w="280" w:type="dxa"/>
            <w:vAlign w:val="bottom"/>
            <w:shd w:val="clear" w:color="auto" w:fill="CCEEFF"/>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(8,360)</w:t>
            </w:r>
          </w:p>
        </w:tc>
        <w:tc>
          <w:tcPr>
            <w:tcW w:w="4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(20,221)</w:t>
            </w:r>
          </w:p>
        </w:tc>
        <w:tc>
          <w:tcPr>
            <w:tcW w:w="4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(27,529)</w:t>
            </w:r>
          </w:p>
        </w:tc>
        <w:tc>
          <w:tcPr>
            <w:tcW w:w="4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(52,859)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(52,991)</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exchange gain (loss) on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(61,175)</w:t>
            </w:r>
          </w:p>
        </w:tc>
        <w:tc>
          <w:tcPr>
            <w:tcW w:w="0" w:type="dxa"/>
            <w:vAlign w:val="bottom"/>
          </w:tcPr>
          <w:p>
            <w:pPr>
              <w:spacing w:after="0"/>
              <w:rPr>
                <w:sz w:val="1"/>
                <w:szCs w:val="1"/>
                <w:color w:val="auto"/>
              </w:rPr>
            </w:pPr>
          </w:p>
        </w:tc>
      </w:tr>
      <w:tr>
        <w:trPr>
          <w:trHeight w:val="232"/>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3"/>
        </w:trPr>
        <w:tc>
          <w:tcPr>
            <w:tcW w:w="5780" w:type="dxa"/>
            <w:vAlign w:val="bottom"/>
          </w:tcPr>
          <w:p>
            <w:pPr>
              <w:ind w:left="240"/>
              <w:spacing w:after="0" w:line="193" w:lineRule="exact"/>
              <w:rPr>
                <w:sz w:val="20"/>
                <w:szCs w:val="20"/>
                <w:color w:val="auto"/>
              </w:rPr>
            </w:pPr>
            <w:r>
              <w:rPr>
                <w:rFonts w:ascii="Arial" w:cs="Arial" w:eastAsia="Arial" w:hAnsi="Arial"/>
                <w:sz w:val="18"/>
                <w:szCs w:val="18"/>
                <w:b w:val="1"/>
                <w:bCs w:val="1"/>
                <w:color w:val="auto"/>
              </w:rPr>
              <w:t>Comprehensive income (loss) attributable to Cronos Group</w:t>
            </w:r>
          </w:p>
        </w:tc>
        <w:tc>
          <w:tcPr>
            <w:tcW w:w="280" w:type="dxa"/>
            <w:vAlign w:val="bottom"/>
          </w:tcPr>
          <w:p>
            <w:pPr>
              <w:jc w:val="right"/>
              <w:ind w:right="92"/>
              <w:spacing w:after="0" w:line="19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3" w:lineRule="exact"/>
              <w:rPr>
                <w:sz w:val="20"/>
                <w:szCs w:val="20"/>
                <w:color w:val="auto"/>
              </w:rPr>
            </w:pPr>
            <w:r>
              <w:rPr>
                <w:rFonts w:ascii="Arial" w:cs="Arial" w:eastAsia="Arial" w:hAnsi="Arial"/>
                <w:sz w:val="18"/>
                <w:szCs w:val="18"/>
                <w:color w:val="auto"/>
              </w:rPr>
              <w:t>8,170</w:t>
            </w:r>
          </w:p>
        </w:tc>
        <w:tc>
          <w:tcPr>
            <w:tcW w:w="400" w:type="dxa"/>
            <w:vAlign w:val="bottom"/>
            <w:gridSpan w:val="2"/>
          </w:tcPr>
          <w:p>
            <w:pPr>
              <w:jc w:val="right"/>
              <w:ind w:right="200"/>
              <w:spacing w:after="0" w:line="19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3" w:lineRule="exact"/>
              <w:rPr>
                <w:sz w:val="20"/>
                <w:szCs w:val="20"/>
                <w:color w:val="auto"/>
              </w:rPr>
            </w:pPr>
            <w:r>
              <w:rPr>
                <w:rFonts w:ascii="Arial" w:cs="Arial" w:eastAsia="Arial" w:hAnsi="Arial"/>
                <w:sz w:val="18"/>
                <w:szCs w:val="18"/>
                <w:color w:val="auto"/>
              </w:rPr>
              <w:t>(44,621)</w:t>
            </w:r>
          </w:p>
        </w:tc>
        <w:tc>
          <w:tcPr>
            <w:tcW w:w="400" w:type="dxa"/>
            <w:vAlign w:val="bottom"/>
            <w:gridSpan w:val="2"/>
          </w:tcPr>
          <w:p>
            <w:pPr>
              <w:jc w:val="right"/>
              <w:ind w:right="200"/>
              <w:spacing w:after="0" w:line="19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(8,665)</w:t>
            </w:r>
          </w:p>
        </w:tc>
        <w:tc>
          <w:tcPr>
            <w:tcW w:w="400" w:type="dxa"/>
            <w:vAlign w:val="bottom"/>
            <w:gridSpan w:val="2"/>
          </w:tcPr>
          <w:p>
            <w:pPr>
              <w:jc w:val="right"/>
              <w:ind w:right="200"/>
              <w:spacing w:after="0" w:line="19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3" w:lineRule="exact"/>
              <w:rPr>
                <w:sz w:val="20"/>
                <w:szCs w:val="20"/>
                <w:color w:val="auto"/>
              </w:rPr>
            </w:pPr>
            <w:r>
              <w:rPr>
                <w:rFonts w:ascii="Arial" w:cs="Arial" w:eastAsia="Arial" w:hAnsi="Arial"/>
                <w:sz w:val="18"/>
                <w:szCs w:val="18"/>
                <w:color w:val="auto"/>
              </w:rPr>
              <w:t>(61,036)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loss per share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Basic and diluted - 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interim financial statements.</w:t>
      </w:r>
    </w:p>
    <w:p>
      <w:pPr>
        <w:sectPr>
          <w:pgSz w:w="11900" w:h="16838" w:orient="portrait"/>
          <w:cols w:equalWidth="0" w:num="1">
            <w:col w:w="11240"/>
          </w:cols>
          <w:pgMar w:left="320" w:top="187"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Changes in Equity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 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paid-in capital</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earnings</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interests</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380,575,403</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611,318</w:t>
            </w:r>
          </w:p>
        </w:tc>
        <w:tc>
          <w:tcPr>
            <w:tcW w:w="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42,682</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490,682</w:t>
            </w:r>
          </w:p>
        </w:tc>
        <w:tc>
          <w:tcPr>
            <w:tcW w:w="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$ 1,140,964</w:t>
            </w: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8"/>
                <w:szCs w:val="18"/>
                <w:color w:val="auto"/>
                <w:w w:val="99"/>
              </w:rPr>
              <w:t>Activities relating to share-based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240,518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8"/>
                <w:szCs w:val="18"/>
                <w:color w:val="auto"/>
              </w:rPr>
              <w:t>Foreign exchange gain on translation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380,815,921</w:t>
            </w:r>
          </w:p>
        </w:tc>
        <w:tc>
          <w:tcPr>
            <w:tcW w:w="26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612,235</w:t>
            </w:r>
          </w:p>
        </w:tc>
        <w:tc>
          <w:tcPr>
            <w:tcW w:w="22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44,044</w:t>
            </w:r>
          </w:p>
        </w:tc>
        <w:tc>
          <w:tcPr>
            <w:tcW w:w="2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471,513</w:t>
            </w:r>
          </w:p>
        </w:tc>
        <w:tc>
          <w:tcPr>
            <w:tcW w:w="2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$ 1,126,400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w w:val="99"/>
              </w:rPr>
              <w:t>Activities relating to share-based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273,436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917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1,273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8"/>
                <w:szCs w:val="18"/>
                <w:color w:val="auto"/>
              </w:rPr>
              <w:t>Foreign exchange gain on translation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381,089,357</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613,152</w:t>
            </w:r>
          </w:p>
        </w:tc>
        <w:tc>
          <w:tcPr>
            <w:tcW w:w="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45,317</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463,153</w:t>
            </w:r>
          </w:p>
        </w:tc>
        <w:tc>
          <w:tcPr>
            <w:tcW w:w="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$ 1,136,673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 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paid-in capital</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5"/>
              </w:rPr>
              <w:t>earnings</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interests</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374,952,693</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595,497</w:t>
            </w: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659,416</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2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$ 1,334,276</w:t>
            </w:r>
          </w:p>
        </w:tc>
        <w:tc>
          <w:tcPr>
            <w:tcW w:w="0" w:type="dxa"/>
            <w:vAlign w:val="bottom"/>
          </w:tcPr>
          <w:p>
            <w:pPr>
              <w:spacing w:after="0"/>
              <w:rPr>
                <w:sz w:val="1"/>
                <w:szCs w:val="1"/>
                <w:color w:val="auto"/>
              </w:rPr>
            </w:pPr>
          </w:p>
        </w:tc>
      </w:tr>
      <w:tr>
        <w:trPr>
          <w:trHeight w:val="231"/>
        </w:trPr>
        <w:tc>
          <w:tcPr>
            <w:tcW w:w="4000" w:type="dxa"/>
            <w:vAlign w:val="bottom"/>
          </w:tcPr>
          <w:p>
            <w:pPr>
              <w:ind w:left="240"/>
              <w:spacing w:after="0"/>
              <w:rPr>
                <w:sz w:val="20"/>
                <w:szCs w:val="20"/>
                <w:color w:val="auto"/>
              </w:rPr>
            </w:pPr>
            <w:r>
              <w:rPr>
                <w:rFonts w:ascii="Arial" w:cs="Arial" w:eastAsia="Arial" w:hAnsi="Arial"/>
                <w:sz w:val="18"/>
                <w:szCs w:val="18"/>
                <w:color w:val="auto"/>
                <w:w w:val="99"/>
              </w:rPr>
              <w:t>Activities relating to share-based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347,287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8"/>
                <w:szCs w:val="18"/>
                <w:color w:val="auto"/>
              </w:rPr>
              <w:t>Foreign exchange gain (loss) on translation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375,299,980</w:t>
            </w:r>
          </w:p>
        </w:tc>
        <w:tc>
          <w:tcPr>
            <w:tcW w:w="26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596,368</w:t>
            </w:r>
          </w:p>
        </w:tc>
        <w:tc>
          <w:tcPr>
            <w:tcW w:w="22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2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626,778</w:t>
            </w:r>
          </w:p>
        </w:tc>
        <w:tc>
          <w:tcPr>
            <w:tcW w:w="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66,088</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$ 1,321,371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w w:val="99"/>
              </w:rPr>
              <w:t>Activities relating to share-based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395,156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Arial" w:cs="Arial" w:eastAsia="Arial" w:hAnsi="Arial"/>
                <w:sz w:val="18"/>
                <w:szCs w:val="18"/>
                <w:color w:val="auto"/>
              </w:rPr>
              <w:t>2,251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rPr>
              <w:t>Share issuance pursuant to research and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2,201,235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development milestones</w:t>
            </w: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exchange gain (loss) on translation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(24,161)</w:t>
            </w:r>
          </w:p>
        </w:tc>
        <w:tc>
          <w:tcPr>
            <w:tcW w:w="0" w:type="dxa"/>
            <w:vAlign w:val="bottom"/>
          </w:tcPr>
          <w:p>
            <w:pPr>
              <w:spacing w:after="0"/>
              <w:rPr>
                <w:sz w:val="1"/>
                <w:szCs w:val="1"/>
                <w:color w:val="auto"/>
              </w:rPr>
            </w:pPr>
          </w:p>
        </w:tc>
      </w:tr>
      <w:tr>
        <w:trPr>
          <w:trHeight w:val="232"/>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377,896,371</w:t>
            </w:r>
          </w:p>
        </w:tc>
        <w:tc>
          <w:tcPr>
            <w:tcW w:w="2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604,626</w:t>
            </w:r>
          </w:p>
        </w:tc>
        <w:tc>
          <w:tcPr>
            <w:tcW w:w="220" w:type="dxa"/>
            <w:vAlign w:val="bottom"/>
            <w:gridSpan w:val="4"/>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35,198</w:t>
            </w: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606,557</w:t>
            </w: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41,688</w:t>
            </w:r>
          </w:p>
        </w:tc>
        <w:tc>
          <w:tcPr>
            <w:tcW w:w="2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8"/>
              </w:rPr>
              <w:t>$ 1,284,963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5"/>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Cronos Group Inc.</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020" w:type="dxa"/>
            <w:vAlign w:val="bottom"/>
            <w:gridSpan w:val="2"/>
          </w:tcPr>
          <w:p>
            <w:pPr>
              <w:spacing w:after="0" w:line="187" w:lineRule="exact"/>
              <w:rPr>
                <w:sz w:val="20"/>
                <w:szCs w:val="20"/>
                <w:color w:val="auto"/>
              </w:rPr>
            </w:pPr>
            <w:r>
              <w:rPr>
                <w:rFonts w:ascii="Arial" w:cs="Arial" w:eastAsia="Arial" w:hAnsi="Arial"/>
                <w:sz w:val="18"/>
                <w:szCs w:val="18"/>
                <w:i w:val="1"/>
                <w:iCs w:val="1"/>
                <w:color w:val="auto"/>
              </w:rPr>
              <w:t>(In thousands of U.S. dollars, except share amounts, unaudited)</w:t>
            </w: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gridSpan w:val="3"/>
          </w:tcPr>
          <w:p>
            <w:pPr>
              <w:ind w:left="260"/>
              <w:spacing w:after="0" w:line="187" w:lineRule="exact"/>
              <w:rPr>
                <w:sz w:val="20"/>
                <w:szCs w:val="20"/>
                <w:color w:val="auto"/>
              </w:rPr>
            </w:pPr>
            <w:r>
              <w:rPr>
                <w:rFonts w:ascii="Arial" w:cs="Arial" w:eastAsia="Arial" w:hAnsi="Arial"/>
                <w:sz w:val="18"/>
                <w:szCs w:val="18"/>
                <w:color w:val="0000FF"/>
                <w:w w:val="85"/>
              </w:rPr>
              <w:t>Table of Contents</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Six months ended June 30,</w:t>
            </w:r>
          </w:p>
        </w:tc>
        <w:tc>
          <w:tcPr>
            <w:tcW w:w="26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b w:val="1"/>
                <w:bCs w:val="1"/>
                <w:color w:val="auto"/>
                <w:w w:val="83"/>
              </w:rPr>
              <w:t>2022</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(27,754)</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(52,991)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4,887</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6,302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Impairment loss on long-lived assets</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3,493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loss on other investments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Loss (gain) from investments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2,955</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(7,193)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revaluation of derivative liabilities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Changes in expected credit losses on long-term financial assets</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transaction loss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Other non-cash operating activities,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1,981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receivable</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3,973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Prepaids and other current assets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(8,145)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(32,801)</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(59,467)</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(51,191)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Purchase of short-term investments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(479,763)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(157,300)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short-term investments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169,418</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Dividends received from equity method investment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 on loan receivables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intangible assets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flows used in investing activities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(298,964)</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 taxes paid on share-based awards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financing activities, net</w:t>
            </w:r>
          </w:p>
        </w:tc>
        <w:tc>
          <w:tcPr>
            <w:tcW w:w="10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flows used in financing activities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cash and cash equivalents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(355,216)</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(97,430)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764,644</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886,973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409,428</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789,543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Interest received</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13,385</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3,490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87"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Background, Basis of Presentation, and Summary of Significant Accounting Policies</w:t>
      </w:r>
    </w:p>
    <w:p>
      <w:pPr>
        <w:spacing w:after="0" w:line="218" w:lineRule="exact"/>
        <w:rPr>
          <w:sz w:val="20"/>
          <w:szCs w:val="20"/>
          <w:color w:val="auto"/>
        </w:rPr>
      </w:pPr>
    </w:p>
    <w:p>
      <w:pPr>
        <w:ind w:left="640" w:hanging="634"/>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Cronos Group Inc. (“Cronos” or the “Company”) is incorporated in the province of British Columbia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with principal executive offices at 111 Peter St., Suite 300, Toronto, Ontario, M5V 2H1. The Company’s common shares are currently listed on the Toronto Stock Exchange (“TSX”) and Nasdaq Global Market (“Nasdaq”) under the ticker symbol “CRON.”</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2"/>
          <w:szCs w:val="22"/>
          <w:color w:val="auto"/>
          <w:vertAlign w:val="superscript"/>
        </w:rPr>
        <w:t>®</w:t>
      </w:r>
      <w:r>
        <w:rPr>
          <w:rFonts w:ascii="Arial" w:cs="Arial" w:eastAsia="Arial" w:hAnsi="Arial"/>
          <w:sz w:val="18"/>
          <w:szCs w:val="18"/>
          <w:color w:val="auto"/>
        </w:rPr>
        <w:t>, PEACE NATURALS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Lord Jones</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condensed consolidated interim financial statements of Cronos Group are unaudited. They have been prepared in accordance with Generally Accepted Accounting Principles in the United States (“U.S. GAAP”) for interim financial information and with applicable rules and regulations of the U.S. Securities and Exchange Commission relating to interim financial statements. Accordingly, they do not include all of the information and footnotes required by U.S. GAAP for complete financial statements. In the opinion of management, all adjustments (consisting of normal recurring accruals) considered necessary for a fair presentation have been included. Operating results for the three and six months ended June 30, 2023 are not necessarily indicative of the results that may be expected for any other reporting period.</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condensed consolidated interim financial statements should be read in conjunction with the Company’s audited consolidated financial statements and related notes included in its Annual Report on Form 10-K for the year ended December 31, 2022 (the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Certain prior period amounts have been reclassified to conform to the current year presentation of our condensed consolidated interim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reported results of operations and ending shareholders’ equity.</w:t>
      </w:r>
    </w:p>
    <w:p>
      <w:pPr>
        <w:spacing w:after="0" w:line="94"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second quarter of 2023, the Company exited its U.S. hemp-derived cannabinoid product operations. The exit of the U.S. operations represented a strategic shift that has a major effect on the Company’s operations and financial results, and as such, qualifies for reporting as discontinued operations in our condensed consolidated statements of net loss and comprehensive income (loss). Prior period amounts have been reclassified to reflect the discontinued operations classification of the U.S. operations.</w:t>
      </w:r>
    </w:p>
    <w:p>
      <w:pPr>
        <w:spacing w:after="0" w:line="79"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Segment reporting is prepared on the same basis that the Company’s chief operating decision maker (the “CODM”) manages the business, makes operating decisions and assesses the Company’s performance. Historically, the Company has reported results for two reportable segments, the U.S. and Rest of World. In the second quarter of 2023, as a result of the Company’s exit of its then-existing U.S. operations, the Company determined that it has one operating segment and therefore one reportable segment, which is comprised of operations </w:t>
      </w:r>
      <w:r>
        <w:rPr>
          <w:rFonts w:ascii="Arial" w:cs="Arial" w:eastAsia="Arial" w:hAnsi="Arial"/>
          <w:sz w:val="18"/>
          <w:szCs w:val="18"/>
          <w:color w:val="212529"/>
        </w:rPr>
        <w:t>in Canada and Israel and is involved in</w:t>
      </w:r>
      <w:r>
        <w:rPr>
          <w:rFonts w:ascii="Arial" w:cs="Arial" w:eastAsia="Arial" w:hAnsi="Arial"/>
          <w:sz w:val="18"/>
          <w:szCs w:val="18"/>
          <w:color w:val="auto"/>
        </w:rPr>
        <w:t xml:space="preserve"> the cultivation, manufacture, and marketing of cannabis and cannabis-derived products for the medical and adult-use markets</w:t>
      </w:r>
      <w:r>
        <w:rPr>
          <w:rFonts w:ascii="Arial" w:cs="Arial" w:eastAsia="Arial" w:hAnsi="Arial"/>
          <w:sz w:val="18"/>
          <w:szCs w:val="18"/>
          <w:color w:val="212529"/>
        </w:rPr>
        <w:t>.</w:t>
      </w:r>
      <w:r>
        <w:rPr>
          <w:rFonts w:ascii="Arial" w:cs="Arial" w:eastAsia="Arial" w:hAnsi="Arial"/>
          <w:sz w:val="18"/>
          <w:szCs w:val="18"/>
          <w:color w:val="auto"/>
        </w:rPr>
        <w:t xml:space="preserve"> All prior period segment disclosure information has been reclassified to conform to the current reporting structure in this Form 10-Q. These reclassifications had no effect on our consolidated financial statements in any period presented.</w:t>
      </w:r>
    </w:p>
    <w:p>
      <w:pPr>
        <w:spacing w:after="0" w:line="91"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revenue by major product category for continuing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Cannabis flower</w:t>
            </w:r>
          </w:p>
        </w:tc>
        <w:tc>
          <w:tcPr>
            <w:tcW w:w="57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14,014</w:t>
            </w: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15,739</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Arial" w:cs="Arial" w:eastAsia="Arial" w:hAnsi="Arial"/>
                <w:sz w:val="18"/>
                <w:szCs w:val="18"/>
                <w:color w:val="auto"/>
              </w:rPr>
              <w:t>Cannabis extracts</w:t>
            </w:r>
          </w:p>
        </w:tc>
        <w:tc>
          <w:tcPr>
            <w:tcW w:w="4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3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8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8"/>
        </w:trPr>
        <w:tc>
          <w:tcPr>
            <w:tcW w:w="3420" w:type="dxa"/>
            <w:vAlign w:val="bottom"/>
          </w:tcPr>
          <w:p>
            <w:pPr>
              <w:ind w:left="240"/>
              <w:spacing w:after="0" w:line="204" w:lineRule="exact"/>
              <w:rPr>
                <w:sz w:val="20"/>
                <w:szCs w:val="20"/>
                <w:color w:val="auto"/>
              </w:rPr>
            </w:pPr>
            <w:r>
              <w:rPr>
                <w:rFonts w:ascii="Arial" w:cs="Arial" w:eastAsia="Arial" w:hAnsi="Arial"/>
                <w:sz w:val="18"/>
                <w:szCs w:val="18"/>
                <w:color w:val="auto"/>
              </w:rPr>
              <w:t>Net revenue</w:t>
            </w:r>
          </w:p>
        </w:tc>
        <w:tc>
          <w:tcPr>
            <w:tcW w:w="570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19,021</w:t>
            </w:r>
          </w:p>
        </w:tc>
        <w:tc>
          <w:tcPr>
            <w:tcW w:w="96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21,602</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4820" w:type="dxa"/>
            <w:vAlign w:val="bottom"/>
            <w:vMerge w:val="restart"/>
          </w:tcPr>
          <w:p>
            <w:pPr>
              <w:jc w:val="right"/>
              <w:ind w:right="2492"/>
              <w:spacing w:after="0"/>
              <w:rPr>
                <w:sz w:val="20"/>
                <w:szCs w:val="20"/>
                <w:color w:val="auto"/>
              </w:rPr>
            </w:pPr>
            <w:r>
              <w:rPr>
                <w:rFonts w:ascii="Arial" w:cs="Arial" w:eastAsia="Arial" w:hAnsi="Arial"/>
                <w:sz w:val="18"/>
                <w:szCs w:val="18"/>
                <w:color w:val="auto"/>
              </w:rPr>
              <w:t>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7"/>
        </w:trPr>
        <w:tc>
          <w:tcPr>
            <w:tcW w:w="342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2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5"/>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Cronos Group Inc.</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87"/>
        </w:trPr>
        <w:tc>
          <w:tcPr>
            <w:tcW w:w="82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(In thousands of U.S. dollars, except share amounts)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Borders>
              <w:bottom w:val="single" w:sz="8" w:color="0000FF"/>
            </w:tcBorders>
            <w:gridSpan w:val="3"/>
          </w:tcPr>
          <w:p>
            <w:pPr>
              <w:jc w:val="right"/>
              <w:spacing w:after="0" w:line="187" w:lineRule="exact"/>
              <w:rPr>
                <w:sz w:val="20"/>
                <w:szCs w:val="20"/>
                <w:color w:val="auto"/>
              </w:rPr>
            </w:pPr>
            <w:r>
              <w:rPr>
                <w:rFonts w:ascii="Arial" w:cs="Arial" w:eastAsia="Arial" w:hAnsi="Arial"/>
                <w:sz w:val="18"/>
                <w:szCs w:val="18"/>
                <w:color w:val="0000FF"/>
                <w:w w:val="87"/>
              </w:rPr>
              <w:t>Table of Contents</w:t>
            </w:r>
          </w:p>
        </w:tc>
        <w:tc>
          <w:tcPr>
            <w:tcW w:w="580" w:type="dxa"/>
            <w:vAlign w:val="bottom"/>
          </w:tcPr>
          <w:p>
            <w:pPr>
              <w:spacing w:after="0"/>
              <w:rPr>
                <w:sz w:val="16"/>
                <w:szCs w:val="16"/>
                <w:color w:val="auto"/>
              </w:rPr>
            </w:pPr>
          </w:p>
        </w:tc>
      </w:tr>
      <w:tr>
        <w:trPr>
          <w:trHeight w:val="889"/>
        </w:trPr>
        <w:tc>
          <w:tcPr>
            <w:tcW w:w="82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24"/>
                <w:szCs w:val="24"/>
                <w:color w:val="auto"/>
              </w:rPr>
            </w:pPr>
          </w:p>
        </w:tc>
      </w:tr>
      <w:tr>
        <w:trPr>
          <w:trHeight w:val="191"/>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Cannabis flower</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27,142</w:t>
            </w: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34,364</w:t>
            </w: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color w:val="auto"/>
              </w:rPr>
              <w:t>Cannabis extracts</w:t>
            </w:r>
          </w:p>
        </w:tc>
        <w:tc>
          <w:tcPr>
            <w:tcW w:w="8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11,227</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3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8"/>
        </w:trPr>
        <w:tc>
          <w:tcPr>
            <w:tcW w:w="824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38,516</w:t>
            </w:r>
          </w:p>
        </w:tc>
        <w:tc>
          <w:tcPr>
            <w:tcW w:w="96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44,307</w:t>
            </w:r>
          </w:p>
        </w:tc>
      </w:tr>
      <w:tr>
        <w:trPr>
          <w:trHeight w:val="20"/>
        </w:trPr>
        <w:tc>
          <w:tcPr>
            <w:tcW w:w="8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Net revenue attributed to a geographic region based on the location of the customer were as follows for continuing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8"/>
        </w:trPr>
        <w:tc>
          <w:tcPr>
            <w:tcW w:w="8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13,595</w:t>
            </w:r>
          </w:p>
        </w:tc>
        <w:tc>
          <w:tcPr>
            <w:tcW w:w="960" w:type="dxa"/>
            <w:vAlign w:val="bottom"/>
            <w:gridSpan w:val="2"/>
            <w:shd w:val="clear" w:color="auto" w:fill="CCEEFF"/>
          </w:tcPr>
          <w:p>
            <w:pPr>
              <w:jc w:val="right"/>
              <w:ind w:right="70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14,389</w:t>
            </w:r>
          </w:p>
        </w:tc>
      </w:tr>
      <w:tr>
        <w:trPr>
          <w:trHeight w:val="212"/>
        </w:trPr>
        <w:tc>
          <w:tcPr>
            <w:tcW w:w="8240" w:type="dxa"/>
            <w:vAlign w:val="bottom"/>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r>
      <w:tr>
        <w:trPr>
          <w:trHeight w:val="245"/>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19,021</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21,602</w:t>
            </w:r>
          </w:p>
        </w:tc>
      </w:tr>
      <w:tr>
        <w:trPr>
          <w:trHeight w:val="20"/>
        </w:trPr>
        <w:tc>
          <w:tcPr>
            <w:tcW w:w="8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72"/>
        </w:trPr>
        <w:tc>
          <w:tcPr>
            <w:tcW w:w="8240" w:type="dxa"/>
            <w:vAlign w:val="bottom"/>
          </w:tcPr>
          <w:p>
            <w:pPr>
              <w:spacing w:after="0"/>
              <w:rPr>
                <w:sz w:val="24"/>
                <w:szCs w:val="24"/>
                <w:color w:val="auto"/>
              </w:rPr>
            </w:pPr>
          </w:p>
        </w:tc>
        <w:tc>
          <w:tcPr>
            <w:tcW w:w="242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4"/>
                <w:szCs w:val="24"/>
                <w:color w:val="auto"/>
              </w:rPr>
            </w:pPr>
          </w:p>
        </w:tc>
      </w:tr>
      <w:tr>
        <w:trPr>
          <w:trHeight w:val="24"/>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28,029</w:t>
            </w:r>
          </w:p>
        </w:tc>
        <w:tc>
          <w:tcPr>
            <w:tcW w:w="960" w:type="dxa"/>
            <w:vAlign w:val="bottom"/>
            <w:gridSpan w:val="2"/>
            <w:shd w:val="clear" w:color="auto" w:fill="CCEEFF"/>
          </w:tcPr>
          <w:p>
            <w:pPr>
              <w:jc w:val="right"/>
              <w:ind w:right="70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27,965</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10,487</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16,342</w:t>
            </w:r>
          </w:p>
        </w:tc>
      </w:tr>
      <w:tr>
        <w:trPr>
          <w:trHeight w:val="239"/>
        </w:trPr>
        <w:tc>
          <w:tcPr>
            <w:tcW w:w="82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Net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38,516</w:t>
            </w:r>
          </w:p>
        </w:tc>
        <w:tc>
          <w:tcPr>
            <w:tcW w:w="960" w:type="dxa"/>
            <w:vAlign w:val="bottom"/>
            <w:gridSpan w:val="2"/>
            <w:shd w:val="clear" w:color="auto" w:fill="CCEEFF"/>
          </w:tcPr>
          <w:p>
            <w:pPr>
              <w:jc w:val="right"/>
              <w:ind w:right="70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44,307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risk</w:t>
      </w:r>
    </w:p>
    <w:p>
      <w:pPr>
        <w:spacing w:after="0" w:line="1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short-term investments and loans receivable. The Company’s maximum exposure to this risk is equal to the carrying amount of these financial assets, which amounted to $943,884 and $987,836 as of June 30, 2023 and December 31, 2022, respectively.</w:t>
      </w:r>
    </w:p>
    <w:p>
      <w:pPr>
        <w:spacing w:after="0" w:line="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current conditions and forecasts of future economic conditions. Accounts receivable are written off when there is no reasonable expectation of recovery. Indicators that there is no reasonable expectation of recovery include, amongst others, the failure of a debtor to engage in a repayment plan and a failure to make contractual payments for a period of greater than 120 days past due. As of June 30, 2023 and December 31, 2022, the Company had $69 and $219, respectively, in expected credit losses that have been recognized on receivables from contracts with customers.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the Company assessed that there is a concentration of credit risk, as 41% of the Company’s accounts receivable were due from two customers with an established credit history with the Company. As of December 31, 2022, 55% of the Company’s accounts receivable were due from three customers with an established credit history with the Company.</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sells products to a limited number of major customers. Major customers are defined as customers that each individually accounted for greater than 10% of the Company’s revenue. During the three months ended June 30, 2023, the Company earned a total net revenue before excise taxes of $16,839 from three major customers, together accounting for 67% of the Company’s total net revenues before excise taxes. During the three months ended June 30, 2022, the Company earned a total net revenue before excise taxes of $12,767 from three major customers, together accounting for 59% of the Company’s total net revenues before excise taxes. During the six months ended June 30, 2023, the Company earned a total net revenue before excise taxes of $34,732 from three major customers, together accounting for 67% of the Company’s total net revenues before excise taxes. During the six months ended June 30, 2022, the Company earned a total net revenue before excise taxes of $24,690 from three major customers, together accounting for 56% of the Company’s total net revenues before excise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accounting pronouncements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1, 2023, the Company adopted ASU 2022-02, Financial Instruments – Credit Losses (Topic 326): Troubled Debt Restructurings and Vintage Disclosures (“ASU No. 2022-02”). ASU No. 2022-02 eliminates the existing troubled debt restructuring recognition and measurement guidance, and instead aligns the accounting treatment to that of other loan modifications. The amendments enhance existing disclosure requirements and introduce new requirements related to certain modifications of receivables made to borrowers experiencing financial difficulty. ASU No. 2022-02 also requires that entities disclose current-period gross write-offs by year of origination for financing receivables and net investments in leases. The adoption of ASU No. 2022-02 did not have a material impact on the Company’s condensed consolidated interim financial statements.</w:t>
      </w:r>
    </w:p>
    <w:p>
      <w:pPr>
        <w:spacing w:after="0" w:line="67"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not yet adopted</w:t>
      </w:r>
    </w:p>
    <w:p>
      <w:pPr>
        <w:spacing w:after="0" w:line="10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June 2022, the Financial Accounting Standards Board (“FASB”) issued ASU 2022-03, Fair Value Measurement (Topic 820): Fair Value Measurement of Equity Securities Subject to Contractual Sale Restrictions (“ASU No. 2022-03”). ASU No. 2022-03 clarifies that a contractual restriction on the sale of an equity security is not considered in measuring fair value. The amendments also require additional disclosures for equity securities subject to contractual sale restrictions. ASU 2022-03 is effective for fiscal years beginning after December 15, 2023, and interim periods within those fiscal years, and we expect to adopt ASU 2022-03 prospectively. The Company does not expect the adoption of ASU No. 2022-03 to have a material impact on its condensed consolidated interim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Discontinued Operations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second quarter of 2023, the Company exited its then-existing U.S. hemp-derived cannabinoid product operations. Accordingly, the net loss of the U.S. operations for the three and six months ended June 30, 2023 and 2022 are reported separately as loss from discontinued operations on the condensed consolidated statements of net loss and comprehensive income (loss).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table presents the major components comprising loss from discontinued operations in the condensed consolidated statements of operations for</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20"/>
                <w:szCs w:val="20"/>
                <w:color w:val="auto"/>
              </w:rPr>
            </w:pPr>
            <w:r>
              <w:rPr>
                <w:rFonts w:ascii="Arial" w:cs="Arial" w:eastAsia="Arial" w:hAnsi="Arial"/>
                <w:sz w:val="18"/>
                <w:szCs w:val="18"/>
                <w:color w:val="auto"/>
                <w:w w:val="79"/>
              </w:rPr>
              <w:t>the</w:t>
            </w:r>
          </w:p>
        </w:tc>
        <w:tc>
          <w:tcPr>
            <w:tcW w:w="1860" w:type="dxa"/>
            <w:vAlign w:val="bottom"/>
          </w:tcPr>
          <w:p>
            <w:pPr>
              <w:ind w:left="780"/>
              <w:spacing w:after="0"/>
              <w:rPr>
                <w:sz w:val="20"/>
                <w:szCs w:val="20"/>
                <w:color w:val="auto"/>
              </w:rPr>
            </w:pPr>
            <w:r>
              <w:rPr>
                <w:rFonts w:ascii="Arial" w:cs="Arial" w:eastAsia="Arial" w:hAnsi="Arial"/>
                <w:sz w:val="18"/>
                <w:szCs w:val="18"/>
                <w:color w:val="auto"/>
              </w:rPr>
              <w:t>three</w:t>
            </w:r>
          </w:p>
        </w:tc>
        <w:tc>
          <w:tcPr>
            <w:tcW w:w="940" w:type="dxa"/>
            <w:vAlign w:val="bottom"/>
          </w:tcPr>
          <w:p>
            <w:pPr>
              <w:ind w:left="40"/>
              <w:spacing w:after="0"/>
              <w:rPr>
                <w:sz w:val="20"/>
                <w:szCs w:val="20"/>
                <w:color w:val="auto"/>
              </w:rPr>
            </w:pPr>
            <w:r>
              <w:rPr>
                <w:rFonts w:ascii="Arial" w:cs="Arial" w:eastAsia="Arial" w:hAnsi="Arial"/>
                <w:sz w:val="18"/>
                <w:szCs w:val="18"/>
                <w:color w:val="auto"/>
              </w:rPr>
              <w:t>and</w:t>
            </w:r>
          </w:p>
        </w:tc>
        <w:tc>
          <w:tcPr>
            <w:tcW w:w="720" w:type="dxa"/>
            <w:vAlign w:val="bottom"/>
          </w:tcPr>
          <w:p>
            <w:pPr>
              <w:ind w:left="120"/>
              <w:spacing w:after="0"/>
              <w:rPr>
                <w:sz w:val="20"/>
                <w:szCs w:val="20"/>
                <w:color w:val="auto"/>
              </w:rPr>
            </w:pPr>
            <w:r>
              <w:rPr>
                <w:rFonts w:ascii="Arial" w:cs="Arial" w:eastAsia="Arial" w:hAnsi="Arial"/>
                <w:sz w:val="18"/>
                <w:szCs w:val="18"/>
                <w:color w:val="auto"/>
              </w:rPr>
              <w:t>six</w:t>
            </w:r>
          </w:p>
        </w:tc>
        <w:tc>
          <w:tcPr>
            <w:tcW w:w="1280" w:type="dxa"/>
            <w:vAlign w:val="bottom"/>
          </w:tcPr>
          <w:p>
            <w:pPr>
              <w:ind w:left="380"/>
              <w:spacing w:after="0"/>
              <w:rPr>
                <w:sz w:val="20"/>
                <w:szCs w:val="20"/>
                <w:color w:val="auto"/>
              </w:rPr>
            </w:pPr>
            <w:r>
              <w:rPr>
                <w:rFonts w:ascii="Arial" w:cs="Arial" w:eastAsia="Arial" w:hAnsi="Arial"/>
                <w:sz w:val="18"/>
                <w:szCs w:val="18"/>
                <w:color w:val="auto"/>
              </w:rPr>
              <w:t>months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ended</w:t>
            </w:r>
          </w:p>
        </w:tc>
        <w:tc>
          <w:tcPr>
            <w:tcW w:w="980" w:type="dxa"/>
            <w:vAlign w:val="bottom"/>
          </w:tcPr>
          <w:p>
            <w:pPr>
              <w:ind w:left="22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633"/>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2023</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and</w:t>
            </w:r>
          </w:p>
        </w:tc>
        <w:tc>
          <w:tcPr>
            <w:tcW w:w="92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191"/>
        </w:trPr>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4"/>
        </w:trPr>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2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5"/>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25"/>
        </w:trPr>
        <w:tc>
          <w:tcPr>
            <w:tcW w:w="208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w:t>
            </w:r>
          </w:p>
        </w:tc>
      </w:tr>
      <w:tr>
        <w:trPr>
          <w:trHeight w:val="239"/>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write-down</w:t>
            </w: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20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39"/>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Research and development</w:t>
            </w: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5"/>
        </w:trPr>
        <w:tc>
          <w:tcPr>
            <w:tcW w:w="2080" w:type="dxa"/>
            <w:vAlign w:val="bottom"/>
            <w:gridSpan w:val="2"/>
          </w:tcPr>
          <w:p>
            <w:pPr>
              <w:ind w:left="140"/>
              <w:spacing w:after="0"/>
              <w:rPr>
                <w:sz w:val="20"/>
                <w:szCs w:val="20"/>
                <w:color w:val="auto"/>
              </w:rPr>
            </w:pPr>
            <w:r>
              <w:rPr>
                <w:rFonts w:ascii="Arial" w:cs="Arial" w:eastAsia="Arial" w:hAnsi="Arial"/>
                <w:sz w:val="18"/>
                <w:szCs w:val="18"/>
                <w:color w:val="auto"/>
                <w:w w:val="89"/>
              </w:rPr>
              <w:t>General and administrative</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26"/>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31"/>
        </w:trPr>
        <w:tc>
          <w:tcPr>
            <w:tcW w:w="2080" w:type="dxa"/>
            <w:vAlign w:val="bottom"/>
            <w:gridSpan w:val="2"/>
          </w:tcPr>
          <w:p>
            <w:pPr>
              <w:ind w:left="140"/>
              <w:spacing w:after="0"/>
              <w:rPr>
                <w:sz w:val="20"/>
                <w:szCs w:val="20"/>
                <w:color w:val="auto"/>
              </w:rPr>
            </w:pPr>
            <w:r>
              <w:rPr>
                <w:rFonts w:ascii="Arial" w:cs="Arial" w:eastAsia="Arial" w:hAnsi="Arial"/>
                <w:sz w:val="18"/>
                <w:szCs w:val="18"/>
                <w:color w:val="auto"/>
                <w:w w:val="87"/>
              </w:rPr>
              <w:t>Share-based compensation</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2"/>
        </w:trPr>
        <w:tc>
          <w:tcPr>
            <w:tcW w:w="3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3020" w:type="dxa"/>
            <w:vAlign w:val="bottom"/>
            <w:gridSpan w:val="3"/>
          </w:tcPr>
          <w:p>
            <w:pPr>
              <w:ind w:left="140"/>
              <w:spacing w:after="0" w:line="225" w:lineRule="exact"/>
              <w:rPr>
                <w:sz w:val="20"/>
                <w:szCs w:val="20"/>
                <w:color w:val="auto"/>
              </w:rPr>
            </w:pPr>
            <w:r>
              <w:rPr>
                <w:rFonts w:ascii="Arial" w:cs="Arial" w:eastAsia="Arial" w:hAnsi="Arial"/>
                <w:sz w:val="18"/>
                <w:szCs w:val="18"/>
                <w:color w:val="auto"/>
                <w:w w:val="93"/>
              </w:rPr>
              <w:t>Impairment loss on long-lived assets</w:t>
            </w:r>
            <w:r>
              <w:rPr>
                <w:rFonts w:ascii="Arial" w:cs="Arial" w:eastAsia="Arial" w:hAnsi="Arial"/>
                <w:sz w:val="22"/>
                <w:szCs w:val="22"/>
                <w:color w:val="auto"/>
                <w:w w:val="93"/>
                <w:vertAlign w:val="superscript"/>
              </w:rPr>
              <w:t>(ii)</w:t>
            </w: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operating expenses</w:t>
            </w: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r>
      <w:tr>
        <w:trPr>
          <w:trHeight w:val="225"/>
        </w:trPr>
        <w:tc>
          <w:tcPr>
            <w:tcW w:w="208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2080" w:type="dxa"/>
            <w:vAlign w:val="bottom"/>
            <w:tcBorders>
              <w:bottom w:val="single" w:sz="8" w:color="CCEEFF"/>
            </w:tcBorders>
            <w:gridSpan w:val="2"/>
            <w:shd w:val="clear" w:color="auto" w:fill="CCEEFF"/>
          </w:tcPr>
          <w:p>
            <w:pPr>
              <w:ind w:left="140"/>
              <w:spacing w:after="0" w:line="226"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(i)</w:t>
            </w:r>
          </w:p>
        </w:tc>
        <w:tc>
          <w:tcPr>
            <w:tcW w:w="9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2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loss</w:t>
            </w:r>
          </w:p>
        </w:tc>
        <w:tc>
          <w:tcPr>
            <w:tcW w:w="9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Loss before income taxes</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r>
      <w:tr>
        <w:trPr>
          <w:trHeight w:val="225"/>
        </w:trPr>
        <w:tc>
          <w:tcPr>
            <w:tcW w:w="3020" w:type="dxa"/>
            <w:vAlign w:val="bottom"/>
            <w:gridSpan w:val="3"/>
          </w:tcPr>
          <w:p>
            <w:pPr>
              <w:ind w:left="140"/>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from discontinued operations</w:t>
            </w:r>
          </w:p>
        </w:tc>
        <w:tc>
          <w:tcPr>
            <w:tcW w:w="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r>
    </w:tbl>
    <w:p>
      <w:pPr>
        <w:spacing w:after="0" w:line="114" w:lineRule="exact"/>
        <w:rPr>
          <w:sz w:val="20"/>
          <w:szCs w:val="20"/>
          <w:color w:val="auto"/>
        </w:rPr>
      </w:pPr>
    </w:p>
    <w:p>
      <w:pPr>
        <w:ind w:left="480" w:hanging="474"/>
        <w:spacing w:after="0"/>
        <w:tabs>
          <w:tab w:leader="none" w:pos="480"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the three and six months ended June 30, 2023 and June 30, 2022, Other, net related to loss on disposal of assets that were part of the U.S. operations.</w:t>
      </w:r>
    </w:p>
    <w:p>
      <w:pPr>
        <w:spacing w:after="0" w:line="64" w:lineRule="exact"/>
        <w:rPr>
          <w:rFonts w:ascii="Arial" w:cs="Arial" w:eastAsia="Arial" w:hAnsi="Arial"/>
          <w:sz w:val="9"/>
          <w:szCs w:val="9"/>
          <w:color w:val="auto"/>
        </w:rPr>
      </w:pPr>
    </w:p>
    <w:p>
      <w:pPr>
        <w:ind w:left="480" w:hanging="474"/>
        <w:spacing w:after="0" w:line="221" w:lineRule="auto"/>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During the three and six months ended June 30, 2023, as a result of the exit of the U.S. operations, the Company recognized an impairment charge of $205 related to the right-of-use lease assets associated with the Company’s former U.S. manufacturing facility in Los Angeles, California.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discontinued operations revenue by major product category: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5"/>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Cronos Group Inc.</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87"/>
        </w:trPr>
        <w:tc>
          <w:tcPr>
            <w:tcW w:w="82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(In thousands of U.S. dollars, except share amounts)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bottom w:val="single" w:sz="8" w:color="0000FF"/>
            </w:tcBorders>
            <w:gridSpan w:val="3"/>
          </w:tcPr>
          <w:p>
            <w:pPr>
              <w:jc w:val="right"/>
              <w:spacing w:after="0" w:line="187" w:lineRule="exact"/>
              <w:rPr>
                <w:sz w:val="20"/>
                <w:szCs w:val="20"/>
                <w:color w:val="auto"/>
              </w:rPr>
            </w:pPr>
            <w:r>
              <w:rPr>
                <w:rFonts w:ascii="Arial" w:cs="Arial" w:eastAsia="Arial" w:hAnsi="Arial"/>
                <w:sz w:val="18"/>
                <w:szCs w:val="18"/>
                <w:color w:val="0000FF"/>
                <w:w w:val="87"/>
              </w:rPr>
              <w:t>Table of Contents</w:t>
            </w:r>
          </w:p>
        </w:tc>
        <w:tc>
          <w:tcPr>
            <w:tcW w:w="580" w:type="dxa"/>
            <w:vAlign w:val="bottom"/>
          </w:tcPr>
          <w:p>
            <w:pPr>
              <w:spacing w:after="0"/>
              <w:rPr>
                <w:sz w:val="16"/>
                <w:szCs w:val="16"/>
                <w:color w:val="auto"/>
              </w:rPr>
            </w:pPr>
          </w:p>
        </w:tc>
      </w:tr>
      <w:tr>
        <w:trPr>
          <w:trHeight w:val="889"/>
        </w:trPr>
        <w:tc>
          <w:tcPr>
            <w:tcW w:w="8240" w:type="dxa"/>
            <w:vAlign w:val="bottom"/>
          </w:tcPr>
          <w:p>
            <w:pPr>
              <w:spacing w:after="0"/>
              <w:rPr>
                <w:sz w:val="24"/>
                <w:szCs w:val="24"/>
                <w:color w:val="auto"/>
              </w:rPr>
            </w:pPr>
          </w:p>
        </w:tc>
        <w:tc>
          <w:tcPr>
            <w:tcW w:w="300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Three months ended June 30, 2023</w:t>
            </w:r>
          </w:p>
        </w:tc>
      </w:tr>
      <w:tr>
        <w:trPr>
          <w:trHeight w:val="191"/>
        </w:trPr>
        <w:tc>
          <w:tcPr>
            <w:tcW w:w="8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2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Cannabis extracts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6"/>
        </w:trPr>
        <w:tc>
          <w:tcPr>
            <w:tcW w:w="824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r>
      <w:tr>
        <w:trPr>
          <w:trHeight w:val="27"/>
        </w:trPr>
        <w:tc>
          <w:tcPr>
            <w:tcW w:w="824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380"/>
        </w:trPr>
        <w:tc>
          <w:tcPr>
            <w:tcW w:w="8240" w:type="dxa"/>
            <w:vAlign w:val="bottom"/>
          </w:tcPr>
          <w:p>
            <w:pPr>
              <w:spacing w:after="0"/>
              <w:rPr>
                <w:sz w:val="24"/>
                <w:szCs w:val="24"/>
                <w:color w:val="auto"/>
              </w:rPr>
            </w:pPr>
          </w:p>
        </w:tc>
        <w:tc>
          <w:tcPr>
            <w:tcW w:w="242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4"/>
                <w:szCs w:val="24"/>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Cannabis extracts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18"/>
        </w:trPr>
        <w:tc>
          <w:tcPr>
            <w:tcW w:w="8240" w:type="dxa"/>
            <w:vAlign w:val="bottom"/>
          </w:tcPr>
          <w:p>
            <w:pPr>
              <w:ind w:left="240"/>
              <w:spacing w:after="0" w:line="204" w:lineRule="exact"/>
              <w:rPr>
                <w:sz w:val="20"/>
                <w:szCs w:val="20"/>
                <w:color w:val="auto"/>
              </w:rPr>
            </w:pPr>
            <w:r>
              <w:rPr>
                <w:rFonts w:ascii="Arial" w:cs="Arial" w:eastAsia="Arial" w:hAnsi="Arial"/>
                <w:sz w:val="18"/>
                <w:szCs w:val="18"/>
                <w:color w:val="auto"/>
              </w:rPr>
              <w:t>Net revenue</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1,029</w:t>
            </w:r>
          </w:p>
        </w:tc>
        <w:tc>
          <w:tcPr>
            <w:tcW w:w="9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3,787</w:t>
            </w:r>
          </w:p>
        </w:tc>
      </w:tr>
      <w:tr>
        <w:trPr>
          <w:trHeight w:val="20"/>
        </w:trPr>
        <w:tc>
          <w:tcPr>
            <w:tcW w:w="8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 the Company’s discontinued operations restructuring activity for the three and six months ended June 30, 2023 and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Accrual as of April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Payments/Write-offs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Employee Termination Benefits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Other Restructuring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Accrual as of January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Payments/Write-offs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Employee Termination Benefits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8"/>
                <w:szCs w:val="18"/>
                <w:color w:val="auto"/>
              </w:rPr>
              <w:t>Other Restructuring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Accrual as of April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Payments/Write-offs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Employee Termination Benefits</w:t>
            </w:r>
          </w:p>
        </w:tc>
        <w:tc>
          <w:tcPr>
            <w:tcW w:w="140" w:type="dxa"/>
            <w:vAlign w:val="bottom"/>
            <w:tcBorders>
              <w:bottom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132"/>
              <w:spacing w:after="0" w:line="205"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48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Accrual as of January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Payments/Write-offs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Employee Termination Benefits</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12"/>
              <w:spacing w:after="0" w:line="205"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48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98"/>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reconciliation of assets and liabilities of the discontinued operations presented in the condensed consolidated balance sheets: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As of June 30, 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As of December 31, 2022</w:t>
            </w: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1"/>
        </w:trPr>
        <w:tc>
          <w:tcPr>
            <w:tcW w:w="7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2"/>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25"/>
        </w:trPr>
        <w:tc>
          <w:tcPr>
            <w:tcW w:w="75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25"/>
        </w:trPr>
        <w:tc>
          <w:tcPr>
            <w:tcW w:w="7500" w:type="dxa"/>
            <w:vAlign w:val="bottom"/>
          </w:tcPr>
          <w:p>
            <w:pPr>
              <w:ind w:left="140"/>
              <w:spacing w:after="0"/>
              <w:rPr>
                <w:sz w:val="20"/>
                <w:szCs w:val="20"/>
                <w:color w:val="auto"/>
              </w:rPr>
            </w:pPr>
            <w:r>
              <w:rPr>
                <w:rFonts w:ascii="Arial" w:cs="Arial" w:eastAsia="Arial" w:hAnsi="Arial"/>
                <w:sz w:val="18"/>
                <w:szCs w:val="18"/>
                <w:color w:val="auto"/>
              </w:rPr>
              <w:t>Prepaids and other current assets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5"/>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8"/>
        </w:trPr>
        <w:tc>
          <w:tcPr>
            <w:tcW w:w="7500" w:type="dxa"/>
            <w:vAlign w:val="bottom"/>
          </w:tcPr>
          <w:p>
            <w:pPr>
              <w:ind w:left="240"/>
              <w:spacing w:after="0"/>
              <w:rPr>
                <w:sz w:val="20"/>
                <w:szCs w:val="20"/>
                <w:color w:val="auto"/>
              </w:rPr>
            </w:pPr>
            <w:r>
              <w:rPr>
                <w:rFonts w:ascii="Arial" w:cs="Arial" w:eastAsia="Arial" w:hAnsi="Arial"/>
                <w:sz w:val="18"/>
                <w:szCs w:val="18"/>
                <w:b w:val="1"/>
                <w:bCs w:val="1"/>
                <w:color w:val="auto"/>
              </w:rPr>
              <w:t>Current assets of discontinued operations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4,726</w:t>
            </w:r>
          </w:p>
        </w:tc>
      </w:tr>
      <w:tr>
        <w:trPr>
          <w:trHeight w:val="270"/>
        </w:trPr>
        <w:tc>
          <w:tcPr>
            <w:tcW w:w="7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6"/>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5"/>
        </w:trPr>
        <w:tc>
          <w:tcPr>
            <w:tcW w:w="75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5"/>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28"/>
        </w:trPr>
        <w:tc>
          <w:tcPr>
            <w:tcW w:w="7500" w:type="dxa"/>
            <w:vAlign w:val="bottom"/>
          </w:tcPr>
          <w:p>
            <w:pPr>
              <w:ind w:left="240"/>
              <w:spacing w:after="0"/>
              <w:rPr>
                <w:sz w:val="20"/>
                <w:szCs w:val="20"/>
                <w:color w:val="auto"/>
              </w:rPr>
            </w:pPr>
            <w:r>
              <w:rPr>
                <w:rFonts w:ascii="Arial" w:cs="Arial" w:eastAsia="Arial" w:hAnsi="Arial"/>
                <w:sz w:val="18"/>
                <w:szCs w:val="18"/>
                <w:b w:val="1"/>
                <w:bCs w:val="1"/>
                <w:color w:val="auto"/>
              </w:rPr>
              <w:t>Non-current assets of discontinued operations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70"/>
        </w:trPr>
        <w:tc>
          <w:tcPr>
            <w:tcW w:w="7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1"/>
        </w:trPr>
        <w:tc>
          <w:tcPr>
            <w:tcW w:w="75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2"/>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5"/>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lease obligation</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bl>
    <w:p>
      <w:pPr>
        <w:spacing w:after="0" w:line="2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six months ended June 30, 2023, purchases of property plant and equipment related to discontinued operations were $67. For the six months ended June 30, 2022 purchases of property plant and equipment related to discontinued operations were $133.</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Inventory, net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Inventory, net is comprised of the following items: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As of June 30, 2023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As of December 31, 2022</w:t>
            </w: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15,926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15,646</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Supplies and consumables</w:t>
            </w:r>
          </w:p>
        </w:tc>
        <w:tc>
          <w:tcPr>
            <w:tcW w:w="3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312"/>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3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Investments</w:t>
      </w:r>
    </w:p>
    <w:p>
      <w:pPr>
        <w:spacing w:after="0" w:line="218"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carrying amount of the investments in equity method investees, net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 interest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98"/>
              </w:rPr>
              <w:t>As of June 30,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0"/>
              </w:rPr>
              <w:t>As of December 31, 2022</w:t>
            </w: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Cronos Growing Company Inc. (“Cronos GrowCo”)</w:t>
            </w:r>
          </w:p>
        </w:tc>
        <w:tc>
          <w:tcPr>
            <w:tcW w:w="188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r>
      <w:tr>
        <w:trPr>
          <w:trHeight w:val="226"/>
        </w:trPr>
        <w:tc>
          <w:tcPr>
            <w:tcW w:w="5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18,755</w:t>
            </w:r>
          </w:p>
        </w:tc>
      </w:tr>
      <w:tr>
        <w:trPr>
          <w:trHeight w:val="27"/>
        </w:trPr>
        <w:tc>
          <w:tcPr>
            <w:tcW w:w="5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r>
    </w:tbl>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June 30, 2023, the Company received a dividend of C$1,750 ($1,322) from Cronos GrowCo, which reduced the Company’s carrying amount in the investment.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share of net gain (loss) from equity method 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4"/>
        </w:trPr>
        <w:tc>
          <w:tcPr>
            <w:tcW w:w="4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4820" w:type="dxa"/>
            <w:vAlign w:val="bottom"/>
          </w:tcPr>
          <w:p>
            <w:pPr>
              <w:spacing w:after="0"/>
              <w:rPr>
                <w:sz w:val="15"/>
                <w:szCs w:val="15"/>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r>
      <w:tr>
        <w:trPr>
          <w:trHeight w:val="21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Cronos GrowCo</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5,197</w:t>
            </w:r>
          </w:p>
        </w:tc>
        <w:tc>
          <w:tcPr>
            <w:tcW w:w="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r>
      <w:tr>
        <w:trPr>
          <w:trHeight w:val="226"/>
        </w:trPr>
        <w:tc>
          <w:tcPr>
            <w:tcW w:w="4820" w:type="dxa"/>
            <w:vAlign w:val="bottom"/>
          </w:tcPr>
          <w:p>
            <w:pPr>
              <w:spacing w:after="0"/>
              <w:rPr>
                <w:sz w:val="19"/>
                <w:szCs w:val="19"/>
                <w:color w:val="auto"/>
              </w:rPr>
            </w:pPr>
          </w:p>
        </w:tc>
        <w:tc>
          <w:tcPr>
            <w:tcW w:w="1080" w:type="dxa"/>
            <w:vAlign w:val="bottom"/>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1160" w:type="dxa"/>
            <w:vAlign w:val="bottom"/>
            <w:gridSpan w:val="2"/>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5,197</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5,197</w:t>
            </w:r>
          </w:p>
        </w:tc>
      </w:tr>
      <w:tr>
        <w:trPr>
          <w:trHeight w:val="26"/>
        </w:trPr>
        <w:tc>
          <w:tcPr>
            <w:tcW w:w="482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167"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 consist of investments in common shares and options of two companies in the cannabis industry.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PharmaCann, Inc.</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2021, the Company purchased an option (the “PharmaCann Option”) to acquire 473,787 shares of Class A Common Stock of PharmaCann, Inc. (“PharmaCann”), a vertically integrated cannabis company in the United States, which represented an ownership interest of approximately 10.5% as of the purchase date of the PharmaCann Option, for an aggregate purchase price of approximately $110,392. The PharmaCann Option is classified as an equity security without a readily determinable fair value. The Company has elected to measure the fair value of the PharmaCann Option at cost less impairment, if any, and subsequently adjusted for observable price changes in orderly transactions for the identical or a similar investment of the same issuer. As of June 30, 2023, the Company’s proforma ownership percentage in PharmaCann on a fully-diluted basis was approximately 6.3%. The decrease in the Company’s ownership percentage since acquisition does not materially affect the Company’s rights under the PharmaCann Option.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Vitura Health Limited (formerly known as Cronos Australia)</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approximately 10% of the outstanding common shares of Vitura Health Limited (“Vitura”). The investment is considered an equity security with a readily determinable fair value. Changes in the fair value of the investment are recorded as gain (loss) on revaluation of financial instruments on the condensed consolidated statements of net loss and comprehensive income (loss). The PharmaCann Option is measured at fair value on a non-recurring basis and is a level 3 asset. See Note 11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more information on the fair value hierarchy.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other investments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As of April 1,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Unrealized gain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Impairment charges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Foreign exchange effect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As of June 30, 2023</w:t>
            </w:r>
          </w:p>
        </w:tc>
      </w:tr>
      <w:tr>
        <w:trPr>
          <w:trHeight w:val="23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PharmaCann</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25"/>
        </w:trPr>
        <w:tc>
          <w:tcPr>
            <w:tcW w:w="2740" w:type="dxa"/>
            <w:vAlign w:val="bottom"/>
          </w:tcPr>
          <w:p>
            <w:pPr>
              <w:ind w:left="20"/>
              <w:spacing w:after="0"/>
              <w:rPr>
                <w:sz w:val="20"/>
                <w:szCs w:val="20"/>
                <w:color w:val="auto"/>
              </w:rPr>
            </w:pPr>
            <w:r>
              <w:rPr>
                <w:rFonts w:ascii="Arial" w:cs="Arial" w:eastAsia="Arial" w:hAnsi="Arial"/>
                <w:sz w:val="18"/>
                <w:szCs w:val="18"/>
                <w:color w:val="auto"/>
              </w:rPr>
              <w:t>Vitura</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r>
      <w:tr>
        <w:trPr>
          <w:trHeight w:val="238"/>
        </w:trPr>
        <w:tc>
          <w:tcPr>
            <w:tcW w:w="27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73"/>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As of January 1,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rPr>
              <w:t>Impairment charges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Foreign exchange effect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As of June 30, 2023</w:t>
            </w:r>
          </w:p>
        </w:tc>
      </w:tr>
      <w:tr>
        <w:trPr>
          <w:trHeight w:val="24"/>
        </w:trPr>
        <w:tc>
          <w:tcPr>
            <w:tcW w:w="2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9"/>
        </w:trPr>
        <w:tc>
          <w:tcPr>
            <w:tcW w:w="27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PharmaCann</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25"/>
        </w:trPr>
        <w:tc>
          <w:tcPr>
            <w:tcW w:w="2740" w:type="dxa"/>
            <w:vAlign w:val="bottom"/>
          </w:tcPr>
          <w:p>
            <w:pPr>
              <w:ind w:left="20"/>
              <w:spacing w:after="0"/>
              <w:rPr>
                <w:sz w:val="20"/>
                <w:szCs w:val="20"/>
                <w:color w:val="auto"/>
              </w:rPr>
            </w:pPr>
            <w:r>
              <w:rPr>
                <w:rFonts w:ascii="Arial" w:cs="Arial" w:eastAsia="Arial" w:hAnsi="Arial"/>
                <w:sz w:val="18"/>
                <w:szCs w:val="18"/>
                <w:color w:val="auto"/>
              </w:rPr>
              <w:t>Vitura</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r>
      <w:tr>
        <w:trPr>
          <w:trHeight w:val="245"/>
        </w:trPr>
        <w:tc>
          <w:tcPr>
            <w:tcW w:w="27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70,993</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As of April 1, 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rPr>
              <w:t>Impairment charges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Foreign exchange effect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As of June 30, 2022</w:t>
            </w:r>
          </w:p>
        </w:tc>
      </w:tr>
      <w:tr>
        <w:trPr>
          <w:trHeight w:val="24"/>
        </w:trPr>
        <w:tc>
          <w:tcPr>
            <w:tcW w:w="2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PharmaCann</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99,154</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99,154</w:t>
            </w:r>
          </w:p>
        </w:tc>
      </w:tr>
      <w:tr>
        <w:trPr>
          <w:trHeight w:val="23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Vitura</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r>
      <w:tr>
        <w:trPr>
          <w:trHeight w:val="238"/>
        </w:trPr>
        <w:tc>
          <w:tcPr>
            <w:tcW w:w="27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111,761</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As of January 1, 2022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Unrealized gain</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Impairment charges</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3"/>
              </w:rPr>
              <w:t>Foreign exchange effect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As of June 30, 2022</w:t>
            </w:r>
          </w:p>
        </w:tc>
      </w:tr>
      <w:tr>
        <w:trPr>
          <w:trHeight w:val="23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PharmaCann</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110,392</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(11,238)</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99,154</w:t>
            </w:r>
          </w:p>
        </w:tc>
      </w:tr>
      <w:tr>
        <w:trPr>
          <w:trHeight w:val="22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Vitura</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r>
      <w:tr>
        <w:trPr>
          <w:trHeight w:val="238"/>
        </w:trPr>
        <w:tc>
          <w:tcPr>
            <w:tcW w:w="27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118,392</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(11,238)</w:t>
            </w:r>
          </w:p>
        </w:tc>
        <w:tc>
          <w:tcPr>
            <w:tcW w:w="740" w:type="dxa"/>
            <w:vAlign w:val="bottom"/>
            <w:gridSpan w:val="3"/>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108,669</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six months ended June 30, 2022, the Company identified adverse forecast changes in the financial performance of PharmaCann as indicators of impairment related to the PharmaCann Option and conducted analyses comparing the PharmaCann Option’s carrying amount to its estimated fair value. The fair value was estimated using a combination of the market and income approaches. Under the income approach, significant inputs used in the discounted cash flow method were the discount rate, growth rates, cash flow projections, and the timing of federal legalization of cannabis in the U.S. Under the market valuation approach, the key assumptions that require judgment under the Guideline Public Companies method are cash flow projections, selected multiples and the discount for lack of marketability. As a result of this analysis, the Company recorded a non-cash impairment charge of $11,238 during the six months ended June 30, 2022, as the difference between the carrying amount of the PharmaCann Option and its estimated fair value in the condensed consolidated statements of net loss and comprehensive income (loss).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Loans Receivable, net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Loans receivable, net consists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As of June 30, 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0"/>
              </w:rPr>
              <w:t>As of December 31, 2022</w:t>
            </w:r>
          </w:p>
        </w:tc>
      </w:tr>
      <w:tr>
        <w:trPr>
          <w:trHeight w:val="224"/>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GrowCo 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38"/>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Add: Current portion of accrued interest</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r>
      <w:tr>
        <w:trPr>
          <w:trHeight w:val="218"/>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portion of loans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19"/>
        </w:trPr>
        <w:tc>
          <w:tcPr>
            <w:tcW w:w="7340" w:type="dxa"/>
            <w:vAlign w:val="bottom"/>
          </w:tcPr>
          <w:p>
            <w:pPr>
              <w:ind w:left="240"/>
              <w:spacing w:after="0"/>
              <w:rPr>
                <w:sz w:val="20"/>
                <w:szCs w:val="20"/>
                <w:color w:val="auto"/>
              </w:rPr>
            </w:pPr>
            <w:r>
              <w:rPr>
                <w:rFonts w:ascii="Arial" w:cs="Arial" w:eastAsia="Arial" w:hAnsi="Arial"/>
                <w:sz w:val="18"/>
                <w:szCs w:val="18"/>
                <w:color w:val="auto"/>
              </w:rPr>
              <w:t>GrowCo Credit Facility</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55,757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56,898</w:t>
            </w:r>
          </w:p>
        </w:tc>
      </w:tr>
      <w:tr>
        <w:trPr>
          <w:trHeight w:val="239"/>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Mucci Promissory Note</w:t>
            </w: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r>
      <w:tr>
        <w:trPr>
          <w:trHeight w:val="225"/>
        </w:trPr>
        <w:tc>
          <w:tcPr>
            <w:tcW w:w="7340" w:type="dxa"/>
            <w:vAlign w:val="bottom"/>
          </w:tcPr>
          <w:p>
            <w:pPr>
              <w:ind w:left="240"/>
              <w:spacing w:after="0"/>
              <w:rPr>
                <w:sz w:val="20"/>
                <w:szCs w:val="20"/>
                <w:color w:val="auto"/>
              </w:rPr>
            </w:pPr>
            <w:r>
              <w:rPr>
                <w:rFonts w:ascii="Arial" w:cs="Arial" w:eastAsia="Arial" w:hAnsi="Arial"/>
                <w:sz w:val="18"/>
                <w:szCs w:val="18"/>
                <w:color w:val="auto"/>
              </w:rPr>
              <w:t>Cannasoul Collaboration Loan</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25"/>
        </w:trPr>
        <w:tc>
          <w:tcPr>
            <w:tcW w:w="7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Long-term portion of accrued interest</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6"/>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long-term portion of loans receivable</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72,345</w:t>
            </w:r>
          </w:p>
        </w:tc>
      </w:tr>
      <w:tr>
        <w:trPr>
          <w:trHeight w:val="24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loans receivable, net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Cronos GrowCo Credit Facility</w:t>
      </w:r>
    </w:p>
    <w:p>
      <w:pPr>
        <w:spacing w:after="0" w:line="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23, 2019, the Company, as lender, and Cronos GrowCo, as borrower, entered into a senior secured credit agreement for an aggregate principal amount of C$100,000 (the “GrowCo Credit Facility”). In August 2021, the GrowCo Credit Facility was amended to increase the aggregate principal amount available to C$105,000. As of both June 30, 2023 and December 31, 2022, Cronos GrowCo had drawn C$104,000 ($78,538 and $76,730, respectively) from the GrowCo Credit Facility. The interest rate on the outstanding borrowings is the Canadian Prime Rate plus 1.25%, with interest payments due on December 2021, December 2022, and quarterly thereafter. Principal payments of C$1,000 commenced in March 2022 and are due quarterly thereafter. As of June 30, 2023, Cronos GrowCo had repaid C$8,167 ($6,167) and C$16,486 ($12,450) in principal and interest, respectively, under the terms of the GrowCo Credit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Mucci Promissory Note</w:t>
      </w:r>
    </w:p>
    <w:p>
      <w:pPr>
        <w:spacing w:after="0" w:line="3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June 28, 2019, the Company entered into a promissory note receivable agreement (the “Mucci Promissory Note”) for C$16,350 (approximately $12,347) with the Cronos GrowCo joint venture partner (“Mucci”). The Mucci Promissory Note is secured by a general security agreement covering all the assets of Mucci.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Prior to July 1, 2022, interest accrued on the Mucci Promissory Note was capitalized as part of the principal balance. As of July 1, 2022, interest was accrued and to be paid in cash beginning on July 1, 2023. On June 30, 2023, Mucci made a payment of C$1,750 (approximately $1,322) under the Mucci Promissory Note, with C$1,187 ($897) related to accrued interest and C$563 ($425) related to outstanding principal.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Cannasoul Collaboration Loan</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both June 30, 2023 and December 31, 2022, Cannasoul Lab Services Ltd. has received ILS 8,297 (approximately $2,239 and $2,359, respectively), from the Cannasoul Collaboration Loan.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Expected credit loss allowances on the Company’s long-term financial assets for the three and six months ended June 30, 2023 and 2022 were comprised of the following items: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As of April 1, 2023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7"/>
              </w:rPr>
              <w:t>Increase (decrease)</w:t>
            </w:r>
            <w:r>
              <w:rPr>
                <w:rFonts w:ascii="Arial" w:cs="Arial" w:eastAsia="Arial" w:hAnsi="Arial"/>
                <w:sz w:val="18"/>
                <w:szCs w:val="18"/>
                <w:b w:val="1"/>
                <w:bCs w:val="1"/>
                <w:color w:val="auto"/>
                <w:w w:val="87"/>
                <w:vertAlign w:val="superscript"/>
              </w:rPr>
              <w:t>(i)</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Foreign exchange effect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8"/>
              </w:rPr>
              <w:t>As of June 30, 2023</w:t>
            </w: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GrowCo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5"/>
        </w:trPr>
        <w:tc>
          <w:tcPr>
            <w:tcW w:w="3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12,324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12,168</w:t>
            </w:r>
          </w:p>
        </w:tc>
      </w:tr>
      <w:tr>
        <w:trPr>
          <w:trHeight w:val="27"/>
        </w:trPr>
        <w:tc>
          <w:tcPr>
            <w:tcW w:w="34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r>
        <w:trPr>
          <w:trHeight w:val="380"/>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As of April 1, 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Increase (decrease)</w:t>
            </w:r>
            <w:r>
              <w:rPr>
                <w:rFonts w:ascii="Arial" w:cs="Arial" w:eastAsia="Arial" w:hAnsi="Arial"/>
                <w:sz w:val="9"/>
                <w:szCs w:val="9"/>
                <w:b w:val="1"/>
                <w:bCs w:val="1"/>
                <w:color w:val="auto"/>
                <w:w w:val="89"/>
              </w:rPr>
              <w:t>(i)</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4"/>
                <w:szCs w:val="14"/>
                <w:b w:val="1"/>
                <w:bCs w:val="1"/>
                <w:color w:val="auto"/>
                <w:w w:val="90"/>
              </w:rPr>
              <w:t>Foreign exchange effect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As of June 30, 2022</w:t>
            </w:r>
          </w:p>
        </w:tc>
      </w:tr>
      <w:tr>
        <w:trPr>
          <w:trHeight w:val="24"/>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GrowCo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r>
      <w:tr>
        <w:trPr>
          <w:trHeight w:val="231"/>
        </w:trPr>
        <w:tc>
          <w:tcPr>
            <w:tcW w:w="3480" w:type="dxa"/>
            <w:vAlign w:val="bottom"/>
          </w:tcPr>
          <w:p>
            <w:pPr>
              <w:ind w:left="20"/>
              <w:spacing w:after="0"/>
              <w:rPr>
                <w:sz w:val="20"/>
                <w:szCs w:val="20"/>
                <w:color w:val="auto"/>
              </w:rPr>
            </w:pPr>
            <w:r>
              <w:rPr>
                <w:rFonts w:ascii="Arial" w:cs="Arial" w:eastAsia="Arial" w:hAnsi="Arial"/>
                <w:sz w:val="18"/>
                <w:szCs w:val="18"/>
                <w:color w:val="auto"/>
              </w:rPr>
              <w:t>Mucci Promissory Note</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Cannasoul Collaboration Loan</w:t>
            </w:r>
          </w:p>
        </w:tc>
        <w:tc>
          <w:tcPr>
            <w:tcW w:w="1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9"/>
        </w:trPr>
        <w:tc>
          <w:tcPr>
            <w:tcW w:w="3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14,856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(440)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13,761</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34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As of January 1,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7"/>
              </w:rPr>
              <w:t>Increase (decrease)</w:t>
            </w:r>
            <w:r>
              <w:rPr>
                <w:rFonts w:ascii="Arial" w:cs="Arial" w:eastAsia="Arial" w:hAnsi="Arial"/>
                <w:sz w:val="18"/>
                <w:szCs w:val="18"/>
                <w:b w:val="1"/>
                <w:bCs w:val="1"/>
                <w:color w:val="auto"/>
                <w:w w:val="87"/>
                <w:vertAlign w:val="superscript"/>
              </w:rPr>
              <w:t>(i)</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Foreign exchange effect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8"/>
              </w:rPr>
              <w:t>As of June 30, 2023</w:t>
            </w:r>
          </w:p>
        </w:tc>
      </w:tr>
      <w:tr>
        <w:trPr>
          <w:trHeight w:val="218"/>
        </w:trPr>
        <w:tc>
          <w:tcPr>
            <w:tcW w:w="34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GrowCo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Cannasoul Collaboration Loan</w:t>
            </w:r>
          </w:p>
        </w:tc>
        <w:tc>
          <w:tcPr>
            <w:tcW w:w="1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8"/>
        </w:trPr>
        <w:tc>
          <w:tcPr>
            <w:tcW w:w="3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13,066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(1,146)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12,168</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3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As of January 1, 2022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8"/>
              </w:rPr>
              <w:t>Increase (decrease)</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Foreign exchange effect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8"/>
              </w:rPr>
              <w:t>As of June 30, 2022</w:t>
            </w:r>
          </w:p>
        </w:tc>
      </w:tr>
      <w:tr>
        <w:trPr>
          <w:trHeight w:val="23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GrowCo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5"/>
        </w:trPr>
        <w:tc>
          <w:tcPr>
            <w:tcW w:w="3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14,594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13,761</w:t>
            </w:r>
          </w:p>
        </w:tc>
      </w:tr>
      <w:tr>
        <w:trPr>
          <w:trHeight w:val="27"/>
        </w:trPr>
        <w:tc>
          <w:tcPr>
            <w:tcW w:w="34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bl>
    <w:p>
      <w:pPr>
        <w:spacing w:after="0" w:line="167" w:lineRule="exact"/>
        <w:rPr>
          <w:sz w:val="20"/>
          <w:szCs w:val="20"/>
          <w:color w:val="auto"/>
        </w:rPr>
      </w:pPr>
    </w:p>
    <w:p>
      <w:pPr>
        <w:jc w:val="both"/>
        <w:ind w:left="480" w:hanging="474"/>
        <w:spacing w:after="0" w:line="266" w:lineRule="auto"/>
        <w:tabs>
          <w:tab w:leader="none" w:pos="480" w:val="left"/>
        </w:tabs>
        <w:numPr>
          <w:ilvl w:val="0"/>
          <w:numId w:val="14"/>
        </w:numPr>
        <w:rPr>
          <w:rFonts w:ascii="Arial" w:cs="Arial" w:eastAsia="Arial" w:hAnsi="Arial"/>
          <w:sz w:val="9"/>
          <w:szCs w:val="9"/>
          <w:color w:val="auto"/>
        </w:rPr>
      </w:pPr>
      <w:r>
        <w:rPr>
          <w:rFonts w:ascii="Arial" w:cs="Arial" w:eastAsia="Arial" w:hAnsi="Arial"/>
          <w:sz w:val="14"/>
          <w:szCs w:val="14"/>
          <w:color w:val="auto"/>
        </w:rPr>
        <w:t>During the three and six months ended June 30, 2023, $382 and $1,146, respectively, were recorded as decreases to general and administrative expenses on the condensed consolidated statements of net loss and comprehensive income (loss) as a result of principal and interest payments made by Cronos GrowCo reducing our expected credit losses on loans receivable. During both the three and six months ended June 30, 2022, $655 was recorded as a decrease to general and administrative expenses on the condensed consolidated statements of net loss and comprehensive income (loss) as a result of adjustments to our expected credit losses.</w:t>
      </w:r>
    </w:p>
    <w:p>
      <w:pPr>
        <w:spacing w:after="0" w:line="178" w:lineRule="exact"/>
        <w:rPr>
          <w:rFonts w:ascii="Arial" w:cs="Arial" w:eastAsia="Arial" w:hAnsi="Arial"/>
          <w:sz w:val="9"/>
          <w:szCs w:val="9"/>
          <w:color w:val="auto"/>
        </w:rPr>
      </w:pPr>
    </w:p>
    <w:p>
      <w:pPr>
        <w:ind w:left="260" w:hanging="214"/>
        <w:spacing w:after="0"/>
        <w:tabs>
          <w:tab w:leader="none" w:pos="260" w:val="left"/>
        </w:tabs>
        <w:numPr>
          <w:ilvl w:val="1"/>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Derivative Liabilities</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the investor rights agreement (the “Investor Rights Agreement”) between the Company and Altria Group Inc. (“Altria”), the Company granted Altria certain rights, among others, summarized in this note</w:t>
      </w:r>
      <w:r>
        <w:rPr>
          <w:rFonts w:ascii="Arial" w:cs="Arial" w:eastAsia="Arial" w:hAnsi="Arial"/>
          <w:sz w:val="21"/>
          <w:szCs w:val="2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summaries below are qualified entirely by the terms and conditions fully set out in the Investor Rights Agreement.</w:t>
      </w:r>
    </w:p>
    <w:p>
      <w:pPr>
        <w:spacing w:after="0" w:line="111" w:lineRule="exact"/>
        <w:rPr>
          <w:sz w:val="20"/>
          <w:szCs w:val="20"/>
          <w:color w:val="auto"/>
        </w:rPr>
      </w:pPr>
    </w:p>
    <w:p>
      <w:pPr>
        <w:jc w:val="both"/>
        <w:ind w:left="640" w:hanging="316"/>
        <w:spacing w:after="0" w:line="264"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granted to Altria, subject to certain qualifications and limitations, upon the occurrence of certain issuances of common shares of the Company executed by the Company (including issuances pursuant to the research and development (“R&amp;D”) partnership with Ginkgo Bioworks Holdings, Inc. (“Ginkgo”), the right to purchase up to such number of common shares of the Company in order to maintain their ownership percentage of issued and outstanding common shares of the Company immediately preceding any issuance of shares by the Company (“Pre-emptive Rights”), at the same price per common share of the Company at which the common shares are sold in the relevant issuance; provided that if the consideration paid in connection with any such issuance is non-cash, the price per common share of the Company that would have been received had such common shares been issued for cash consideration will be determined by an independent committee (acting reasonably and in good faith); provided further that the price per common share of the Company to be paid by Altria pursuant to its exercise of its Pre-emptive Rights related to the Ginkgo Collaboration Agreement will be C$16.25 per common share. These rights may not be exercised if Altria’s ownership percentage of the issued and outstanding shares of the Company falls below 20%.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40" w:hanging="316"/>
        <w:spacing w:after="0" w:line="305"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addition to (and without duplication of) the Pre-emptive Rights, the Company granted to Altria, subject to certain qualifications and limitations, the right to subscribe for common shares of the Company issuable in connection with the exercise, conversion or exchange of convertible securities of the Company issued prior to March 8, 2019 or thereafter (excluding any convertible securities of the Company owned by Altria or any of its subsidiaries), a share incentive plan of the Company, the exercise of any right granted by the Company pro rata to all shareholders of the Company to purchase additional common shares and/or securities of the Company, bona fide bank debt, equipment financing or non-equity interim financing transactions that contemplate an equity component or bona fide acquisitions (including acquisitions of assets or rights under a license or otherwise), mergers or similar business combination transactions or joint ventures involving the Company in order to maintain their ownership percentage of issued and outstanding common shares of the Company immediately preceding any such transactions (“Top-up Rights”).</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price per common share to be paid by Altria pursuant to the exercise of its Top-up Rights will be, subject to certain limited exceptions, the 10-day volume-weighted average price of the common shares of the Company on the TSX for the 10 full days preceding such exercise by Altria; provided that the price per common share of the Company to be paid by Altria pursuant to the exercise of its Top-up Rights in connection with the issuance of common shares of the Company pursuant to the exercise of options or warrants that were outstanding as of March 8, 2019 will be C$16.25 per common share without any set off, counterclaim, deduction, or withholding. These rights may not be exercised if Altria’s ownership percentage of the issued and outstanding shares of the Company falls below 20%. The Pre-emptive Rights, and fixed price Top-up Rights have been classified as derivative liabilities on the Company’s consolidated balance sheet.</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2023, Altria beneficially held 156,573,537 of the Company’s common shares, an approximate 41% ownership interest in the Company (calculated on a non-diluted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Company’s derivative liabilities activity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As of April 1, 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Revaluation (gain) loss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Foreign exchange effect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As of June 30, 2023</w:t>
            </w:r>
          </w:p>
        </w:tc>
      </w:tr>
      <w:tr>
        <w:trPr>
          <w:trHeight w:val="224"/>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Pre-emptive Rights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2"/>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Top-up Rights</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As of April 1, 2022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Revaluation gain</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Foreign exchange effect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As of June 30, 2022</w:t>
            </w:r>
          </w:p>
        </w:tc>
      </w:tr>
      <w:tr>
        <w:trPr>
          <w:trHeight w:val="23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Altria Warrant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Pre-emptive Rights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Top-up Rights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9"/>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4,099</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3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As of January 1, 2023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8"/>
              </w:rPr>
              <w:t>Revaluation (gain) loss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Foreign exchange effect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As of June 30, 2023</w:t>
            </w:r>
          </w:p>
        </w:tc>
      </w:tr>
      <w:tr>
        <w:trPr>
          <w:trHeight w:val="23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Pre-emptive Rights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Top-up Rights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73"/>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As of January 1, 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Revaluation gain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Foreign exchange effect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As of June 30, 2022</w:t>
            </w:r>
          </w:p>
        </w:tc>
      </w:tr>
      <w:tr>
        <w:trPr>
          <w:trHeight w:val="24"/>
        </w:trPr>
        <w:tc>
          <w:tcPr>
            <w:tcW w:w="38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38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Altria Warrant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Pre-emptive Rights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Top-up Rights</w:t>
            </w: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14,375</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(13,829)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Fluctuations in the expected life of the derivative instruments and the Company’s share price are primary drivers for the changes in the derivative valuations during each reporting period. As the period of time that the derivative liability is expected to be outstanding decreases and the share price decreases, the fair value typically decreases for each related derivative instrument. Weighted-average expected life and share price are two of the significant observable inputs used in the fair value measurement of each of the Company’s derivative instruments.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derivative liabilities were determined using the Black-Scholes pricing model using the following inputs:</w:t>
      </w:r>
    </w:p>
    <w:p>
      <w:pPr>
        <w:spacing w:after="0" w:line="14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As of June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1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Pre-emptive Rights</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b w:val="1"/>
                <w:bCs w:val="1"/>
                <w:color w:val="auto"/>
              </w:rPr>
              <w:t>Top-up Rights</w:t>
            </w:r>
          </w:p>
        </w:tc>
      </w:tr>
      <w:tr>
        <w:trPr>
          <w:trHeight w:val="23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at valuation date (per share in 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$2.61</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$2.61</w:t>
            </w: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Subscription price (per share in C$)</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$16.25</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$16.25</w:t>
            </w:r>
          </w:p>
        </w:tc>
      </w:tr>
      <w:tr>
        <w:trPr>
          <w:trHeight w:val="27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r>
              <w:rPr>
                <w:rFonts w:ascii="Arial" w:cs="Arial" w:eastAsia="Arial" w:hAnsi="Arial"/>
                <w:sz w:val="22"/>
                <w:szCs w:val="22"/>
                <w:color w:val="auto"/>
                <w:vertAlign w:val="superscript"/>
              </w:rPr>
              <w:t>(i)</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4.72%</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4.86%</w:t>
            </w:r>
          </w:p>
        </w:tc>
      </w:tr>
      <w:tr>
        <w:trPr>
          <w:trHeight w:val="292"/>
        </w:trPr>
        <w:tc>
          <w:tcPr>
            <w:tcW w:w="8360" w:type="dxa"/>
            <w:vAlign w:val="bottom"/>
          </w:tcPr>
          <w:p>
            <w:pPr>
              <w:ind w:left="20"/>
              <w:spacing w:after="0"/>
              <w:rPr>
                <w:sz w:val="20"/>
                <w:szCs w:val="20"/>
                <w:color w:val="auto"/>
              </w:rPr>
            </w:pPr>
            <w:r>
              <w:rPr>
                <w:rFonts w:ascii="Arial" w:cs="Arial" w:eastAsia="Arial" w:hAnsi="Arial"/>
                <w:sz w:val="18"/>
                <w:szCs w:val="18"/>
                <w:color w:val="auto"/>
              </w:rPr>
              <w:t>Weighted-average expected life (in years)</w:t>
            </w:r>
            <w:r>
              <w:rPr>
                <w:rFonts w:ascii="Arial" w:cs="Arial" w:eastAsia="Arial" w:hAnsi="Arial"/>
                <w:sz w:val="22"/>
                <w:szCs w:val="22"/>
                <w:color w:val="auto"/>
                <w:vertAlign w:val="superscript"/>
              </w:rPr>
              <w:t>(ii)</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1.50</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1.10</w:t>
            </w:r>
          </w:p>
        </w:tc>
      </w:tr>
      <w:tr>
        <w:trPr>
          <w:trHeight w:val="27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annualized volatility</w:t>
            </w:r>
            <w:r>
              <w:rPr>
                <w:rFonts w:ascii="Arial" w:cs="Arial" w:eastAsia="Arial" w:hAnsi="Arial"/>
                <w:sz w:val="22"/>
                <w:szCs w:val="22"/>
                <w:color w:val="auto"/>
                <w:vertAlign w:val="superscript"/>
              </w:rPr>
              <w:t>(iii)</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59%</w:t>
            </w:r>
          </w:p>
        </w:tc>
      </w:tr>
      <w:tr>
        <w:trPr>
          <w:trHeight w:val="224"/>
        </w:trPr>
        <w:tc>
          <w:tcPr>
            <w:tcW w:w="8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401"/>
        </w:trPr>
        <w:tc>
          <w:tcPr>
            <w:tcW w:w="8360" w:type="dxa"/>
            <w:vAlign w:val="bottom"/>
          </w:tcPr>
          <w:p>
            <w:pPr>
              <w:spacing w:after="0"/>
              <w:rPr>
                <w:sz w:val="24"/>
                <w:szCs w:val="24"/>
                <w:color w:val="auto"/>
              </w:rPr>
            </w:pPr>
          </w:p>
        </w:tc>
        <w:tc>
          <w:tcPr>
            <w:tcW w:w="288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December 31, 2022</w:t>
            </w:r>
          </w:p>
        </w:tc>
      </w:tr>
      <w:tr>
        <w:trPr>
          <w:trHeight w:val="24"/>
        </w:trPr>
        <w:tc>
          <w:tcPr>
            <w:tcW w:w="83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2"/>
        </w:trPr>
        <w:tc>
          <w:tcPr>
            <w:tcW w:w="83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Pre-emptive Rights</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Top-up Rights</w:t>
            </w: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at valuation date (per share in 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$3.44</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$3.44</w:t>
            </w: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Subscription price (per share in C$)</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$16.25</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$16.25</w:t>
            </w:r>
          </w:p>
        </w:tc>
      </w:tr>
      <w:tr>
        <w:trPr>
          <w:trHeight w:val="29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r>
              <w:rPr>
                <w:rFonts w:ascii="Arial" w:cs="Arial" w:eastAsia="Arial" w:hAnsi="Arial"/>
                <w:sz w:val="22"/>
                <w:szCs w:val="22"/>
                <w:color w:val="auto"/>
                <w:vertAlign w:val="superscript"/>
              </w:rPr>
              <w:t>(i)</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4.14%</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4.28%</w:t>
            </w:r>
          </w:p>
        </w:tc>
      </w:tr>
      <w:tr>
        <w:trPr>
          <w:trHeight w:val="278"/>
        </w:trPr>
        <w:tc>
          <w:tcPr>
            <w:tcW w:w="8360" w:type="dxa"/>
            <w:vAlign w:val="bottom"/>
          </w:tcPr>
          <w:p>
            <w:pPr>
              <w:ind w:left="20"/>
              <w:spacing w:after="0"/>
              <w:rPr>
                <w:sz w:val="20"/>
                <w:szCs w:val="20"/>
                <w:color w:val="auto"/>
              </w:rPr>
            </w:pPr>
            <w:r>
              <w:rPr>
                <w:rFonts w:ascii="Arial" w:cs="Arial" w:eastAsia="Arial" w:hAnsi="Arial"/>
                <w:sz w:val="18"/>
                <w:szCs w:val="18"/>
                <w:color w:val="auto"/>
              </w:rPr>
              <w:t>Weighted-average expected life (in years)</w:t>
            </w:r>
            <w:r>
              <w:rPr>
                <w:rFonts w:ascii="Arial" w:cs="Arial" w:eastAsia="Arial" w:hAnsi="Arial"/>
                <w:sz w:val="22"/>
                <w:szCs w:val="22"/>
                <w:color w:val="auto"/>
                <w:vertAlign w:val="superscript"/>
              </w:rPr>
              <w:t>(ii)</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0.25</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0.59</w:t>
            </w:r>
          </w:p>
        </w:tc>
      </w:tr>
      <w:tr>
        <w:trPr>
          <w:trHeight w:val="27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annualized volatility</w:t>
            </w:r>
            <w:r>
              <w:rPr>
                <w:rFonts w:ascii="Arial" w:cs="Arial" w:eastAsia="Arial" w:hAnsi="Arial"/>
                <w:sz w:val="22"/>
                <w:szCs w:val="22"/>
                <w:color w:val="auto"/>
                <w:vertAlign w:val="superscript"/>
              </w:rPr>
              <w:t>(iii)</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73%</w:t>
            </w:r>
          </w:p>
        </w:tc>
      </w:tr>
      <w:tr>
        <w:trPr>
          <w:trHeight w:val="224"/>
        </w:trPr>
        <w:tc>
          <w:tcPr>
            <w:tcW w:w="8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128" w:lineRule="exact"/>
        <w:rPr>
          <w:sz w:val="20"/>
          <w:szCs w:val="20"/>
          <w:color w:val="auto"/>
        </w:rPr>
      </w:pPr>
    </w:p>
    <w:p>
      <w:pPr>
        <w:ind w:left="480" w:hanging="474"/>
        <w:spacing w:after="0" w:line="315" w:lineRule="auto"/>
        <w:tabs>
          <w:tab w:leader="none" w:pos="480" w:val="left"/>
        </w:tabs>
        <w:numPr>
          <w:ilvl w:val="0"/>
          <w:numId w:val="17"/>
        </w:numPr>
        <w:rPr>
          <w:rFonts w:ascii="Arial" w:cs="Arial" w:eastAsia="Arial" w:hAnsi="Arial"/>
          <w:sz w:val="9"/>
          <w:szCs w:val="9"/>
          <w:color w:val="auto"/>
        </w:rPr>
      </w:pPr>
      <w:r>
        <w:rPr>
          <w:rFonts w:ascii="Arial" w:cs="Arial" w:eastAsia="Arial" w:hAnsi="Arial"/>
          <w:sz w:val="13"/>
          <w:szCs w:val="13"/>
          <w:color w:val="auto"/>
        </w:rPr>
        <w:t>The risk-free interest rate was based on Bank of Canada government treasury bills and bonds with a remaining term equal to the expected life of the derivative liabilities. As of June 30, 2023 and December 31, 2022, the risk-free interest rate uses a range of approximately 4.46% to 4.89% and 3.81% to 4.37%, respectively, for the Pre-emptive Rights and Top-up Rights.</w:t>
      </w:r>
    </w:p>
    <w:p>
      <w:pPr>
        <w:spacing w:after="0" w:line="5" w:lineRule="exact"/>
        <w:rPr>
          <w:rFonts w:ascii="Arial" w:cs="Arial" w:eastAsia="Arial" w:hAnsi="Arial"/>
          <w:sz w:val="9"/>
          <w:szCs w:val="9"/>
          <w:color w:val="auto"/>
        </w:rPr>
      </w:pPr>
    </w:p>
    <w:p>
      <w:pPr>
        <w:jc w:val="both"/>
        <w:ind w:left="480" w:hanging="474"/>
        <w:spacing w:after="0" w:line="251" w:lineRule="auto"/>
        <w:tabs>
          <w:tab w:leader="none" w:pos="48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The expected life represents the period of time, in years, that the derivative liabilities are expected to be outstanding. The expected life of the Pre-emptive Rights and Top-up Rights is determined based on the expected term of the underlying options, warrants, and shares, to which the Pre-emptive Rights and Top-up Rights are linked. As of June 30, 2023 and December 31, 2022, the expected life uses a range of approximately 1.00 years to 2.25 years and 0.25 years to 2.75 years, respectively, for the Pre-emptive Rights and Top-up Rights.</w:t>
      </w:r>
    </w:p>
    <w:p>
      <w:pPr>
        <w:spacing w:after="0" w:line="39" w:lineRule="exact"/>
        <w:rPr>
          <w:rFonts w:ascii="Arial" w:cs="Arial" w:eastAsia="Arial" w:hAnsi="Arial"/>
          <w:sz w:val="17"/>
          <w:szCs w:val="17"/>
          <w:color w:val="auto"/>
          <w:vertAlign w:val="superscript"/>
        </w:rPr>
      </w:pPr>
    </w:p>
    <w:p>
      <w:pPr>
        <w:ind w:left="480" w:hanging="474"/>
        <w:spacing w:after="0"/>
        <w:tabs>
          <w:tab w:leader="none" w:pos="480" w:val="left"/>
        </w:tabs>
        <w:numPr>
          <w:ilvl w:val="0"/>
          <w:numId w:val="17"/>
        </w:numPr>
        <w:rPr>
          <w:rFonts w:ascii="Arial" w:cs="Arial" w:eastAsia="Arial" w:hAnsi="Arial"/>
          <w:sz w:val="9"/>
          <w:szCs w:val="9"/>
          <w:color w:val="auto"/>
        </w:rPr>
      </w:pPr>
      <w:r>
        <w:rPr>
          <w:rFonts w:ascii="Arial" w:cs="Arial" w:eastAsia="Arial" w:hAnsi="Arial"/>
          <w:sz w:val="14"/>
          <w:szCs w:val="14"/>
          <w:color w:val="auto"/>
        </w:rPr>
        <w:t>Volatility was based on an equally weighted blended historical and implied volatility level of the underlying equity securities of the Company.</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Restructuring</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the first quarter of 2022, the Company initiated a strategic plan to realign the business around its brands, centralize functions and evaluate the Company’s supply chain (the “Realignment”). As part of the Realignment, on February 28, 2022,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which are expected to result in the Company maintaining select components of its operations at the Peace Naturals Campus, namely distribution warehousing, certain research and development activities and manufacturing of certain of the Company’s products, while seeking to sell and lease back all or some of the Peace Naturals Campus or to lease certain portions of the Peace Naturals Campus to third parties. The Realignment initiatives were intended to position the Company to drive profitable and sustainable growth over time.</w:t>
      </w:r>
    </w:p>
    <w:p>
      <w:pPr>
        <w:spacing w:after="0" w:line="5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the three and six months ended June 30, 2022, the Company recognized $978 and $3,009, respectively, of restructuring costs in connection with the Realignment, including the change in the nature of operations at the Peace Naturals Campus. Charges related thereto include employee-related costs such as severance, relocation and other termination benefits, as well as contract termination and other related costs. During the three and six months ended June 30, 2023, the Company incurred no restructuring costs in its continuing operations. Restructuring costs incurred in the Company’s discontinued operations during the three and six months ended June 30, 2023 and 2022 is presented in Note 2 “</w:t>
      </w:r>
      <w:r>
        <w:rPr>
          <w:rFonts w:ascii="Arial" w:cs="Arial" w:eastAsia="Arial" w:hAnsi="Arial"/>
          <w:sz w:val="15"/>
          <w:szCs w:val="15"/>
          <w:i w:val="1"/>
          <w:iCs w:val="1"/>
          <w:color w:val="auto"/>
        </w:rPr>
        <w:t>Discontinued Operations</w:t>
      </w:r>
      <w:r>
        <w:rPr>
          <w:rFonts w:ascii="Arial" w:cs="Arial" w:eastAsia="Arial" w:hAnsi="Arial"/>
          <w:sz w:val="15"/>
          <w:szCs w:val="15"/>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activity for the three and six months ended June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Accrual as of April 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Payments/Write-offs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Termination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Restructuring Costs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9"/>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0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Accrual as of January 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Payments/Write-offs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Accrual as of June 30,</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Termination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Restructuring Costs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9"/>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Share-based Compensation</w:t>
      </w:r>
    </w:p>
    <w:p>
      <w:pPr>
        <w:spacing w:after="0" w:line="218"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 plans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has granted stock options, restricted share units (“RSUs”) and deferred share units (“DSUs”) to employees and non-employee directors under the Stock Option Plan dated May 26, 2015 (the “2015 Stock Option Plan”), the 2018 Stock Option Plan dated June 28, 2018 (the “2018 Stock Option Plan” and, together with the 2015 Stock Option Plan, the “Prior Option Plans”), the Employment Inducement Award Plan #1 (the “Employment Inducement Award Plan”), the 2020 Omnibus Equity Incentive Plan dated March 29, 2020 (the “2020 Omnibus Plan”) and the DSU Plan dated August 10, 2019 (the “DSU Plan”). The Company can no longer make grants under the Prior Option Plans or the Employment Inducement Award Plan.</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total share-based compensation expense associated with the Company’s stock options, RSUs and liability-classified awards for the three and six months ended June 30, 2023 and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191"/>
        </w:trPr>
        <w:tc>
          <w:tcPr>
            <w:tcW w:w="474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10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RSUs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r>
      <w:tr>
        <w:trPr>
          <w:trHeight w:val="252"/>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share-based compensation</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10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Vesting conditions for grants of options are determined by the Compensation Committee. The typical vesting for stock option grants made under the 2020 Omnibus Plan is annual vesting over three to five years with a maximum term of ten years. The typical vesting for stock option grants made under the Prior Option Plans is quarterly vesting over three to five years with a maximum term of seven years. The Prior Option Plans did not, and the 2020 Omnibus Plan does not, authorize grants of options with an exercise price below fair market value.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stock options for the six months ended June 30, 2023 and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Weighted-average exercise price</w:t>
            </w:r>
          </w:p>
        </w:tc>
        <w:tc>
          <w:tcPr>
            <w:tcW w:w="80" w:type="dxa"/>
            <w:vAlign w:val="bottom"/>
          </w:tcPr>
          <w:p>
            <w:pPr>
              <w:spacing w:after="0"/>
              <w:rPr>
                <w:sz w:val="14"/>
                <w:szCs w:val="14"/>
                <w:color w:val="auto"/>
              </w:rPr>
            </w:pPr>
          </w:p>
        </w:tc>
        <w:tc>
          <w:tcPr>
            <w:tcW w:w="21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Weighted-average remaining</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95"/>
              </w:rPr>
              <w:t xml:space="preserve">(C$) </w:t>
            </w:r>
            <w:r>
              <w:rPr>
                <w:rFonts w:ascii="Arial" w:cs="Arial" w:eastAsia="Arial" w:hAnsi="Arial"/>
                <w:sz w:val="9"/>
                <w:szCs w:val="9"/>
                <w:b w:val="1"/>
                <w:bCs w:val="1"/>
                <w:color w:val="auto"/>
                <w:w w:val="95"/>
              </w:rPr>
              <w:t>(i)</w:t>
            </w:r>
          </w:p>
        </w:tc>
        <w:tc>
          <w:tcPr>
            <w:tcW w:w="80" w:type="dxa"/>
            <w:vAlign w:val="bottom"/>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contractual term (years)</w:t>
            </w: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2023</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5,350,600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1"/>
        </w:trPr>
        <w:tc>
          <w:tcPr>
            <w:tcW w:w="4660" w:type="dxa"/>
            <w:vAlign w:val="bottom"/>
          </w:tcPr>
          <w:p>
            <w:pPr>
              <w:ind w:left="240"/>
              <w:spacing w:after="0"/>
              <w:rPr>
                <w:sz w:val="20"/>
                <w:szCs w:val="20"/>
                <w:color w:val="auto"/>
              </w:rPr>
            </w:pPr>
            <w:r>
              <w:rPr>
                <w:rFonts w:ascii="Arial" w:cs="Arial" w:eastAsia="Arial" w:hAnsi="Arial"/>
                <w:sz w:val="18"/>
                <w:szCs w:val="18"/>
                <w:color w:val="auto"/>
              </w:rPr>
              <w:t>Issuance of options</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2.96</w:t>
            </w:r>
          </w:p>
        </w:tc>
        <w:tc>
          <w:tcPr>
            <w:tcW w:w="2220" w:type="dxa"/>
            <w:vAlign w:val="bottom"/>
            <w:gridSpan w:val="2"/>
          </w:tcPr>
          <w:p>
            <w:pPr>
              <w:jc w:val="right"/>
              <w:ind w:right="1"/>
              <w:spacing w:after="0"/>
              <w:rPr>
                <w:sz w:val="20"/>
                <w:szCs w:val="20"/>
                <w:color w:val="auto"/>
              </w:rPr>
            </w:pPr>
            <w:r>
              <w:rPr>
                <w:rFonts w:ascii="Arial" w:cs="Arial" w:eastAsia="Arial" w:hAnsi="Arial"/>
                <w:sz w:val="18"/>
                <w:szCs w:val="18"/>
                <w:color w:val="auto"/>
              </w:rPr>
              <w:t>188,317</w:t>
            </w: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Cancellation, forfeiture and expiry of options</w:t>
            </w:r>
          </w:p>
        </w:tc>
        <w:tc>
          <w:tcPr>
            <w:tcW w:w="5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(3,435,716)</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14.50</w:t>
            </w:r>
          </w:p>
        </w:tc>
        <w:tc>
          <w:tcPr>
            <w:tcW w:w="2220" w:type="dxa"/>
            <w:vAlign w:val="bottom"/>
            <w:gridSpan w:val="2"/>
          </w:tcPr>
          <w:p>
            <w:pPr>
              <w:jc w:val="right"/>
              <w:ind w:right="1"/>
              <w:spacing w:after="0"/>
              <w:rPr>
                <w:sz w:val="20"/>
                <w:szCs w:val="20"/>
                <w:color w:val="auto"/>
              </w:rPr>
            </w:pPr>
            <w:r>
              <w:rPr>
                <w:rFonts w:ascii="Arial" w:cs="Arial" w:eastAsia="Arial" w:hAnsi="Arial"/>
                <w:sz w:val="18"/>
                <w:szCs w:val="18"/>
                <w:color w:val="auto"/>
              </w:rPr>
              <w:t>2,103,201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June 30, 2023</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1,426,612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Weighted-average exercise price</w:t>
            </w:r>
          </w:p>
        </w:tc>
        <w:tc>
          <w:tcPr>
            <w:tcW w:w="80" w:type="dxa"/>
            <w:vAlign w:val="bottom"/>
          </w:tcPr>
          <w:p>
            <w:pPr>
              <w:spacing w:after="0"/>
              <w:rPr>
                <w:sz w:val="20"/>
                <w:szCs w:val="20"/>
                <w:color w:val="auto"/>
              </w:rPr>
            </w:pPr>
          </w:p>
        </w:tc>
        <w:tc>
          <w:tcPr>
            <w:tcW w:w="21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Weighted-average remaining</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89"/>
              </w:rPr>
              <w:t xml:space="preserve">(C$) </w:t>
            </w:r>
            <w:r>
              <w:rPr>
                <w:rFonts w:ascii="Arial" w:cs="Arial" w:eastAsia="Arial" w:hAnsi="Arial"/>
                <w:sz w:val="18"/>
                <w:szCs w:val="18"/>
                <w:b w:val="1"/>
                <w:bCs w:val="1"/>
                <w:color w:val="auto"/>
                <w:w w:val="89"/>
                <w:vertAlign w:val="superscript"/>
              </w:rPr>
              <w:t>(i)</w:t>
            </w:r>
          </w:p>
        </w:tc>
        <w:tc>
          <w:tcPr>
            <w:tcW w:w="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contractual term (years)</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8,939,330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Exercise of options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(1,481,004)</w:t>
            </w: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Cancellation, forfeiture and expiry of options</w:t>
            </w:r>
          </w:p>
        </w:tc>
        <w:tc>
          <w:tcPr>
            <w:tcW w:w="5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(89,251)</w:t>
            </w:r>
          </w:p>
        </w:tc>
        <w:tc>
          <w:tcPr>
            <w:tcW w:w="80" w:type="dxa"/>
            <w:vAlign w:val="bottom"/>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8.61</w:t>
            </w:r>
          </w:p>
        </w:tc>
        <w:tc>
          <w:tcPr>
            <w:tcW w:w="2220" w:type="dxa"/>
            <w:vAlign w:val="bottom"/>
            <w:gridSpan w:val="2"/>
          </w:tcPr>
          <w:p>
            <w:pPr>
              <w:jc w:val="right"/>
              <w:ind w:right="1"/>
              <w:spacing w:after="0"/>
              <w:rPr>
                <w:sz w:val="20"/>
                <w:szCs w:val="20"/>
                <w:color w:val="auto"/>
              </w:rPr>
            </w:pPr>
            <w:r>
              <w:rPr>
                <w:rFonts w:ascii="Arial" w:cs="Arial" w:eastAsia="Arial" w:hAnsi="Arial"/>
                <w:sz w:val="18"/>
                <w:szCs w:val="18"/>
                <w:color w:val="auto"/>
              </w:rPr>
              <w:t>7,369,075</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June 30, 2022</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4,686,991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The weighted-average exercise price reflects the conversion of foreign currency-denominated stock options translated into C$ using the average foreign exchange rate as of the date of issuance.</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six months ended June 30, 2023, the weighted-average fair value per option at grant date was C$2.07. The fair value of the options issued during the period was determined using the Black-Scholes option pricing model, using the following inputs: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r>
      <w:tr>
        <w:trPr>
          <w:trHeight w:val="237"/>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at grant date (per share)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$2.96</w:t>
            </w:r>
          </w:p>
        </w:tc>
      </w:tr>
      <w:tr>
        <w:trPr>
          <w:trHeight w:val="225"/>
        </w:trPr>
        <w:tc>
          <w:tcPr>
            <w:tcW w:w="9180" w:type="dxa"/>
            <w:vAlign w:val="bottom"/>
          </w:tcPr>
          <w:p>
            <w:pPr>
              <w:ind w:left="20"/>
              <w:spacing w:after="0"/>
              <w:rPr>
                <w:sz w:val="20"/>
                <w:szCs w:val="20"/>
                <w:color w:val="auto"/>
              </w:rPr>
            </w:pPr>
            <w:r>
              <w:rPr>
                <w:rFonts w:ascii="Arial" w:cs="Arial" w:eastAsia="Arial" w:hAnsi="Arial"/>
                <w:sz w:val="18"/>
                <w:szCs w:val="18"/>
                <w:color w:val="auto"/>
              </w:rPr>
              <w:t>Exercise price (per option)</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$2.96</w:t>
            </w:r>
          </w:p>
        </w:tc>
      </w:tr>
      <w:tr>
        <w:trPr>
          <w:trHeight w:val="22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3.22%</w:t>
            </w:r>
          </w:p>
        </w:tc>
      </w:tr>
      <w:tr>
        <w:trPr>
          <w:trHeight w:val="231"/>
        </w:trPr>
        <w:tc>
          <w:tcPr>
            <w:tcW w:w="918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20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32"/>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annualized volatility</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72.68%</w:t>
            </w:r>
          </w:p>
        </w:tc>
      </w:tr>
      <w:tr>
        <w:trPr>
          <w:trHeight w:val="225"/>
        </w:trPr>
        <w:tc>
          <w:tcPr>
            <w:tcW w:w="9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Black-Scholes value at grant date (per option)</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$2.07</w:t>
            </w:r>
          </w:p>
        </w:tc>
      </w:tr>
      <w:tr>
        <w:trPr>
          <w:trHeight w:val="224"/>
        </w:trPr>
        <w:tc>
          <w:tcPr>
            <w:tcW w:w="9180" w:type="dxa"/>
            <w:vAlign w:val="bottom"/>
          </w:tcPr>
          <w:p>
            <w:pPr>
              <w:ind w:left="20"/>
              <w:spacing w:after="0"/>
              <w:rPr>
                <w:sz w:val="20"/>
                <w:szCs w:val="20"/>
                <w:color w:val="auto"/>
              </w:rPr>
            </w:pPr>
            <w:r>
              <w:rPr>
                <w:rFonts w:ascii="Arial" w:cs="Arial" w:eastAsia="Arial" w:hAnsi="Arial"/>
                <w:sz w:val="18"/>
                <w:szCs w:val="18"/>
                <w:color w:val="auto"/>
              </w:rPr>
              <w:t>Forfeiture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options outstanding: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237"/>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Omnibus Plan</w:t>
            </w:r>
          </w:p>
        </w:tc>
        <w:tc>
          <w:tcPr>
            <w:tcW w:w="5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702,264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2,788,947</w:t>
            </w:r>
          </w:p>
        </w:tc>
        <w:tc>
          <w:tcPr>
            <w:tcW w:w="0" w:type="dxa"/>
            <w:vAlign w:val="bottom"/>
          </w:tcPr>
          <w:p>
            <w:pPr>
              <w:spacing w:after="0"/>
              <w:rPr>
                <w:sz w:val="1"/>
                <w:szCs w:val="1"/>
                <w:color w:val="auto"/>
              </w:rPr>
            </w:pPr>
          </w:p>
        </w:tc>
      </w:tr>
      <w:tr>
        <w:trPr>
          <w:trHeight w:val="225"/>
        </w:trPr>
        <w:tc>
          <w:tcPr>
            <w:tcW w:w="400" w:type="dxa"/>
            <w:vAlign w:val="bottom"/>
          </w:tcPr>
          <w:p>
            <w:pPr>
              <w:ind w:left="20"/>
              <w:spacing w:after="0"/>
              <w:rPr>
                <w:sz w:val="20"/>
                <w:szCs w:val="20"/>
                <w:color w:val="auto"/>
              </w:rPr>
            </w:pPr>
            <w:r>
              <w:rPr>
                <w:rFonts w:ascii="Arial" w:cs="Arial" w:eastAsia="Arial" w:hAnsi="Arial"/>
                <w:sz w:val="18"/>
                <w:szCs w:val="18"/>
                <w:color w:val="auto"/>
                <w:w w:val="89"/>
              </w:rPr>
              <w:t>2018</w:t>
            </w:r>
          </w:p>
        </w:tc>
        <w:tc>
          <w:tcPr>
            <w:tcW w:w="3480" w:type="dxa"/>
            <w:vAlign w:val="bottom"/>
          </w:tcPr>
          <w:p>
            <w:pPr>
              <w:ind w:left="20"/>
              <w:spacing w:after="0"/>
              <w:rPr>
                <w:sz w:val="20"/>
                <w:szCs w:val="20"/>
                <w:color w:val="auto"/>
              </w:rPr>
            </w:pPr>
            <w:r>
              <w:rPr>
                <w:rFonts w:ascii="Arial" w:cs="Arial" w:eastAsia="Arial" w:hAnsi="Arial"/>
                <w:sz w:val="18"/>
                <w:szCs w:val="18"/>
                <w:color w:val="auto"/>
              </w:rPr>
              <w:t>Stock Option Plan</w:t>
            </w:r>
          </w:p>
        </w:tc>
        <w:tc>
          <w:tcPr>
            <w:tcW w:w="5160" w:type="dxa"/>
            <w:vAlign w:val="bottom"/>
            <w:gridSpan w:val="2"/>
          </w:tcPr>
          <w:p>
            <w:pPr>
              <w:jc w:val="right"/>
              <w:ind w:right="1"/>
              <w:spacing w:after="0"/>
              <w:rPr>
                <w:sz w:val="20"/>
                <w:szCs w:val="20"/>
                <w:color w:val="auto"/>
              </w:rPr>
            </w:pPr>
            <w:r>
              <w:rPr>
                <w:rFonts w:ascii="Arial" w:cs="Arial" w:eastAsia="Arial" w:hAnsi="Arial"/>
                <w:sz w:val="18"/>
                <w:szCs w:val="18"/>
                <w:color w:val="auto"/>
              </w:rPr>
              <w:t>1,400,937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1,422,069</w:t>
            </w:r>
          </w:p>
        </w:tc>
        <w:tc>
          <w:tcPr>
            <w:tcW w:w="0" w:type="dxa"/>
            <w:vAlign w:val="bottom"/>
          </w:tcPr>
          <w:p>
            <w:pPr>
              <w:spacing w:after="0"/>
              <w:rPr>
                <w:sz w:val="1"/>
                <w:szCs w:val="1"/>
                <w:color w:val="auto"/>
              </w:rPr>
            </w:pPr>
          </w:p>
        </w:tc>
      </w:tr>
      <w:tr>
        <w:trPr>
          <w:trHeight w:val="225"/>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2015</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Plan</w:t>
            </w:r>
          </w:p>
        </w:tc>
        <w:tc>
          <w:tcPr>
            <w:tcW w:w="30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1,139,584</w:t>
            </w:r>
          </w:p>
        </w:tc>
        <w:tc>
          <w:tcPr>
            <w:tcW w:w="0" w:type="dxa"/>
            <w:vAlign w:val="bottom"/>
          </w:tcPr>
          <w:p>
            <w:pPr>
              <w:spacing w:after="0"/>
              <w:rPr>
                <w:sz w:val="1"/>
                <w:szCs w:val="1"/>
                <w:color w:val="auto"/>
              </w:rPr>
            </w:pPr>
          </w:p>
        </w:tc>
      </w:tr>
      <w:tr>
        <w:trPr>
          <w:trHeight w:val="232"/>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stock options outstanding</w:t>
            </w:r>
          </w:p>
        </w:tc>
        <w:tc>
          <w:tcPr>
            <w:tcW w:w="5160" w:type="dxa"/>
            <w:vAlign w:val="bottom"/>
            <w:gridSpan w:val="2"/>
          </w:tcPr>
          <w:p>
            <w:pPr>
              <w:jc w:val="right"/>
              <w:ind w:right="1"/>
              <w:spacing w:after="0"/>
              <w:rPr>
                <w:sz w:val="20"/>
                <w:szCs w:val="20"/>
                <w:color w:val="auto"/>
              </w:rPr>
            </w:pPr>
            <w:r>
              <w:rPr>
                <w:rFonts w:ascii="Arial" w:cs="Arial" w:eastAsia="Arial" w:hAnsi="Arial"/>
                <w:sz w:val="18"/>
                <w:szCs w:val="18"/>
                <w:color w:val="auto"/>
              </w:rPr>
              <w:t>2,103,201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5,350,600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40" w:type="dxa"/>
            <w:vAlign w:val="bottom"/>
            <w:vMerge w:val="restart"/>
          </w:tcPr>
          <w:p>
            <w:pPr>
              <w:jc w:val="right"/>
              <w:ind w:right="1112"/>
              <w:spacing w:after="0"/>
              <w:rPr>
                <w:sz w:val="20"/>
                <w:szCs w:val="20"/>
                <w:color w:val="auto"/>
              </w:rPr>
            </w:pPr>
            <w:r>
              <w:rPr>
                <w:rFonts w:ascii="Arial" w:cs="Arial" w:eastAsia="Arial" w:hAnsi="Arial"/>
                <w:sz w:val="18"/>
                <w:szCs w:val="18"/>
                <w:color w:val="auto"/>
              </w:rPr>
              <w:t>20</w:t>
            </w: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Notes to Condensed Consolidated Financial Statements (Unaudited)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Table of Contents</w:t>
      </w:r>
    </w:p>
    <w:p>
      <w:pPr>
        <w:spacing w:after="0" w:line="234" w:lineRule="exact"/>
        <w:rPr>
          <w:sz w:val="20"/>
          <w:szCs w:val="20"/>
          <w:color w:val="auto"/>
        </w:rPr>
      </w:pPr>
    </w:p>
    <w:p>
      <w:pPr>
        <w:sectPr>
          <w:pgSz w:w="11900" w:h="16838" w:orient="portrait"/>
          <w:cols w:equalWidth="0" w:num="2">
            <w:col w:w="8680" w:space="720"/>
            <w:col w:w="1840"/>
          </w:cols>
          <w:pgMar w:left="320" w:top="187"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RSUs for the six months ended June 30, 2023 and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4"/>
              </w:rPr>
              <w:t>Weighted-average grant date fair value (C$)</w:t>
            </w:r>
            <w:r>
              <w:rPr>
                <w:rFonts w:ascii="Arial" w:cs="Arial" w:eastAsia="Arial" w:hAnsi="Arial"/>
                <w:sz w:val="18"/>
                <w:szCs w:val="18"/>
                <w:b w:val="1"/>
                <w:bCs w:val="1"/>
                <w:color w:val="auto"/>
                <w:w w:val="94"/>
                <w:vertAlign w:val="superscript"/>
              </w:rPr>
              <w:t>(ii)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Number of RSUs</w:t>
            </w: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5,725,470</w:t>
            </w:r>
          </w:p>
        </w:tc>
      </w:tr>
      <w:tr>
        <w:trPr>
          <w:trHeight w:val="225"/>
        </w:trPr>
        <w:tc>
          <w:tcPr>
            <w:tcW w:w="5400" w:type="dxa"/>
            <w:vAlign w:val="bottom"/>
          </w:tcPr>
          <w:p>
            <w:pPr>
              <w:ind w:left="240"/>
              <w:spacing w:after="0" w:line="225"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2.66</w:t>
            </w:r>
          </w:p>
        </w:tc>
        <w:tc>
          <w:tcPr>
            <w:tcW w:w="2420" w:type="dxa"/>
            <w:vAlign w:val="bottom"/>
            <w:gridSpan w:val="4"/>
          </w:tcPr>
          <w:p>
            <w:pPr>
              <w:jc w:val="right"/>
              <w:spacing w:after="0"/>
              <w:rPr>
                <w:sz w:val="20"/>
                <w:szCs w:val="20"/>
                <w:color w:val="auto"/>
              </w:rPr>
            </w:pPr>
            <w:r>
              <w:rPr>
                <w:rFonts w:ascii="Arial" w:cs="Arial" w:eastAsia="Arial" w:hAnsi="Arial"/>
                <w:sz w:val="18"/>
                <w:szCs w:val="18"/>
                <w:color w:val="auto"/>
              </w:rPr>
              <w:t>2,819,174</w:t>
            </w:r>
          </w:p>
        </w:tc>
      </w:tr>
      <w:tr>
        <w:trPr>
          <w:trHeight w:val="225"/>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(735,523)</w:t>
            </w:r>
          </w:p>
        </w:tc>
      </w:tr>
      <w:tr>
        <w:trPr>
          <w:trHeight w:val="238"/>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Cancellation and forfeitures</w:t>
            </w: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gridSpan w:val="2"/>
          </w:tcPr>
          <w:p>
            <w:pPr>
              <w:spacing w:after="0"/>
              <w:rPr>
                <w:sz w:val="20"/>
                <w:szCs w:val="20"/>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(254,382)</w:t>
            </w:r>
          </w:p>
        </w:tc>
      </w:tr>
      <w:tr>
        <w:trPr>
          <w:trHeight w:val="23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7,554,739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r>
        <w:trPr>
          <w:trHeight w:val="331"/>
        </w:trPr>
        <w:tc>
          <w:tcPr>
            <w:tcW w:w="5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4"/>
              </w:rPr>
              <w:t>Weighted-average grant date fair value (C$)</w:t>
            </w:r>
            <w:r>
              <w:rPr>
                <w:rFonts w:ascii="Arial" w:cs="Arial" w:eastAsia="Arial" w:hAnsi="Arial"/>
                <w:sz w:val="18"/>
                <w:szCs w:val="18"/>
                <w:b w:val="1"/>
                <w:bCs w:val="1"/>
                <w:color w:val="auto"/>
                <w:w w:val="94"/>
                <w:vertAlign w:val="superscript"/>
              </w:rPr>
              <w:t>(ii)</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Number of RSUs</w:t>
            </w: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1,225,870</w:t>
            </w:r>
          </w:p>
        </w:tc>
      </w:tr>
      <w:tr>
        <w:trPr>
          <w:trHeight w:val="225"/>
        </w:trPr>
        <w:tc>
          <w:tcPr>
            <w:tcW w:w="5400" w:type="dxa"/>
            <w:vAlign w:val="bottom"/>
          </w:tcPr>
          <w:p>
            <w:pPr>
              <w:ind w:left="240"/>
              <w:spacing w:after="0" w:line="225"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4.32</w:t>
            </w:r>
          </w:p>
        </w:tc>
        <w:tc>
          <w:tcPr>
            <w:tcW w:w="2420" w:type="dxa"/>
            <w:vAlign w:val="bottom"/>
            <w:gridSpan w:val="4"/>
          </w:tcPr>
          <w:p>
            <w:pPr>
              <w:jc w:val="right"/>
              <w:spacing w:after="0"/>
              <w:rPr>
                <w:sz w:val="20"/>
                <w:szCs w:val="20"/>
                <w:color w:val="auto"/>
              </w:rPr>
            </w:pPr>
            <w:r>
              <w:rPr>
                <w:rFonts w:ascii="Arial" w:cs="Arial" w:eastAsia="Arial" w:hAnsi="Arial"/>
                <w:sz w:val="18"/>
                <w:szCs w:val="18"/>
                <w:color w:val="auto"/>
              </w:rPr>
              <w:t>4,513,992</w:t>
            </w:r>
          </w:p>
        </w:tc>
      </w:tr>
      <w:tr>
        <w:trPr>
          <w:trHeight w:val="225"/>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(722,721)</w:t>
            </w:r>
          </w:p>
        </w:tc>
      </w:tr>
      <w:tr>
        <w:trPr>
          <w:trHeight w:val="238"/>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Cancellation and forfeitures</w:t>
            </w: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(101,561)</w:t>
            </w:r>
          </w:p>
        </w:tc>
      </w:tr>
      <w:tr>
        <w:trPr>
          <w:trHeight w:val="23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4,915,580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hanging="314"/>
        <w:spacing w:after="0" w:line="221" w:lineRule="auto"/>
        <w:tabs>
          <w:tab w:leader="none" w:pos="3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RSUs granted in the period vest annually in equal installments over a three-year period from either the grant date or after a three or five year “cliff-period.” All RSUs are subject to such holder’s continued employment through each vesting date. The vesting of such RSUs is not subject to the achievement of any performance criteria.</w:t>
      </w:r>
    </w:p>
    <w:p>
      <w:pPr>
        <w:spacing w:after="0" w:line="45"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3"/>
          <w:szCs w:val="13"/>
          <w:color w:val="auto"/>
        </w:rPr>
        <w:t>The weighted-average grant date fair value reflects the conversion of foreign currency-denominated RSUs translated into C$ using the foreign exchange rate as of the date of issuance.</w:t>
      </w:r>
    </w:p>
    <w:p>
      <w:pPr>
        <w:spacing w:after="0" w:line="129"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DSUs for the six months ended June 30,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5"/>
                <w:szCs w:val="15"/>
                <w:color w:val="auto"/>
              </w:rPr>
            </w:pPr>
          </w:p>
        </w:tc>
        <w:tc>
          <w:tcPr>
            <w:tcW w:w="2100" w:type="dxa"/>
            <w:vAlign w:val="bottom"/>
          </w:tcPr>
          <w:p>
            <w:pPr>
              <w:jc w:val="right"/>
              <w:ind w:right="138"/>
              <w:spacing w:after="0"/>
              <w:rPr>
                <w:sz w:val="20"/>
                <w:szCs w:val="20"/>
                <w:color w:val="auto"/>
              </w:rPr>
            </w:pPr>
            <w:r>
              <w:rPr>
                <w:rFonts w:ascii="Arial" w:cs="Arial" w:eastAsia="Arial" w:hAnsi="Arial"/>
                <w:sz w:val="14"/>
                <w:szCs w:val="14"/>
                <w:b w:val="1"/>
                <w:bCs w:val="1"/>
                <w:color w:val="auto"/>
              </w:rPr>
              <w:t>Financial liability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jc w:val="right"/>
              <w:ind w:right="561"/>
              <w:spacing w:after="0"/>
              <w:rPr>
                <w:sz w:val="20"/>
                <w:szCs w:val="20"/>
                <w:color w:val="auto"/>
              </w:rPr>
            </w:pPr>
            <w:r>
              <w:rPr>
                <w:rFonts w:ascii="Arial" w:cs="Arial" w:eastAsia="Arial" w:hAnsi="Arial"/>
                <w:sz w:val="14"/>
                <w:szCs w:val="14"/>
                <w:b w:val="1"/>
                <w:bCs w:val="1"/>
                <w:color w:val="auto"/>
              </w:rPr>
              <w:t>Number of DSUs</w:t>
            </w:r>
          </w:p>
        </w:tc>
      </w:tr>
      <w:tr>
        <w:trPr>
          <w:trHeight w:val="24"/>
        </w:trPr>
        <w:tc>
          <w:tcPr>
            <w:tcW w:w="6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2023</w:t>
            </w:r>
          </w:p>
        </w:tc>
        <w:tc>
          <w:tcPr>
            <w:tcW w:w="2100" w:type="dxa"/>
            <w:vAlign w:val="bottom"/>
            <w:shd w:val="clear" w:color="auto" w:fill="CCEEFF"/>
          </w:tcPr>
          <w:p>
            <w:pPr>
              <w:jc w:val="right"/>
              <w:ind w:right="191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674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265,732</w:t>
            </w:r>
          </w:p>
        </w:tc>
      </w:tr>
      <w:tr>
        <w:trPr>
          <w:trHeight w:val="225"/>
        </w:trPr>
        <w:tc>
          <w:tcPr>
            <w:tcW w:w="6120" w:type="dxa"/>
            <w:vAlign w:val="bottom"/>
          </w:tcPr>
          <w:p>
            <w:pPr>
              <w:ind w:left="240"/>
              <w:spacing w:after="0"/>
              <w:rPr>
                <w:sz w:val="20"/>
                <w:szCs w:val="20"/>
                <w:color w:val="auto"/>
              </w:rPr>
            </w:pPr>
            <w:r>
              <w:rPr>
                <w:rFonts w:ascii="Arial" w:cs="Arial" w:eastAsia="Arial" w:hAnsi="Arial"/>
                <w:sz w:val="18"/>
                <w:szCs w:val="18"/>
                <w:color w:val="auto"/>
              </w:rPr>
              <w:t>Gain on revaluation</w:t>
            </w:r>
          </w:p>
        </w:tc>
        <w:tc>
          <w:tcPr>
            <w:tcW w:w="2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5"/>
              </w:rPr>
              <w:t>(150)</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100" w:type="dxa"/>
            <w:vAlign w:val="bottom"/>
            <w:shd w:val="clear" w:color="auto" w:fill="CCEEFF"/>
          </w:tcPr>
          <w:p>
            <w:pPr>
              <w:jc w:val="right"/>
              <w:ind w:right="191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524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265,732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6120" w:type="dxa"/>
            <w:vAlign w:val="bottom"/>
          </w:tcPr>
          <w:p>
            <w:pPr>
              <w:spacing w:after="0"/>
              <w:rPr>
                <w:sz w:val="24"/>
                <w:szCs w:val="24"/>
                <w:color w:val="auto"/>
              </w:rPr>
            </w:pPr>
          </w:p>
        </w:tc>
        <w:tc>
          <w:tcPr>
            <w:tcW w:w="2100" w:type="dxa"/>
            <w:vAlign w:val="bottom"/>
          </w:tcPr>
          <w:p>
            <w:pPr>
              <w:jc w:val="right"/>
              <w:ind w:right="138"/>
              <w:spacing w:after="0"/>
              <w:rPr>
                <w:sz w:val="20"/>
                <w:szCs w:val="20"/>
                <w:color w:val="auto"/>
              </w:rPr>
            </w:pPr>
            <w:r>
              <w:rPr>
                <w:rFonts w:ascii="Arial" w:cs="Arial" w:eastAsia="Arial" w:hAnsi="Arial"/>
                <w:sz w:val="14"/>
                <w:szCs w:val="14"/>
                <w:b w:val="1"/>
                <w:bCs w:val="1"/>
                <w:color w:val="auto"/>
              </w:rPr>
              <w:t>Financial liability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jc w:val="right"/>
              <w:ind w:right="561"/>
              <w:spacing w:after="0"/>
              <w:rPr>
                <w:sz w:val="20"/>
                <w:szCs w:val="20"/>
                <w:color w:val="auto"/>
              </w:rPr>
            </w:pPr>
            <w:r>
              <w:rPr>
                <w:rFonts w:ascii="Arial" w:cs="Arial" w:eastAsia="Arial" w:hAnsi="Arial"/>
                <w:sz w:val="14"/>
                <w:szCs w:val="14"/>
                <w:b w:val="1"/>
                <w:bCs w:val="1"/>
                <w:color w:val="auto"/>
              </w:rPr>
              <w:t>Number of DSUs</w:t>
            </w:r>
          </w:p>
        </w:tc>
      </w:tr>
      <w:tr>
        <w:trPr>
          <w:trHeight w:val="24"/>
        </w:trPr>
        <w:tc>
          <w:tcPr>
            <w:tcW w:w="6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2100" w:type="dxa"/>
            <w:vAlign w:val="bottom"/>
            <w:shd w:val="clear" w:color="auto" w:fill="CCEEFF"/>
          </w:tcPr>
          <w:p>
            <w:pPr>
              <w:jc w:val="right"/>
              <w:ind w:right="191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408</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104,442</w:t>
            </w:r>
          </w:p>
        </w:tc>
      </w:tr>
      <w:tr>
        <w:trPr>
          <w:trHeight w:val="238"/>
        </w:trPr>
        <w:tc>
          <w:tcPr>
            <w:tcW w:w="6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on revaluation</w:t>
            </w:r>
          </w:p>
        </w:tc>
        <w:tc>
          <w:tcPr>
            <w:tcW w:w="2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5"/>
              </w:rPr>
              <w:t>(161)</w:t>
            </w:r>
          </w:p>
        </w:tc>
        <w:tc>
          <w:tcPr>
            <w:tcW w:w="10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100" w:type="dxa"/>
            <w:vAlign w:val="bottom"/>
            <w:shd w:val="clear" w:color="auto" w:fill="CCEEFF"/>
          </w:tcPr>
          <w:p>
            <w:pPr>
              <w:jc w:val="right"/>
              <w:ind w:right="191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247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104,442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Basic and diluted loss per share from continuing and discontinued operations are calculated as follows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share computation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480" w:type="dxa"/>
            <w:vAlign w:val="bottom"/>
          </w:tcPr>
          <w:p>
            <w:pPr>
              <w:ind w:left="140"/>
              <w:spacing w:after="0" w:line="173" w:lineRule="exact"/>
              <w:rPr>
                <w:sz w:val="20"/>
                <w:szCs w:val="20"/>
                <w:color w:val="auto"/>
              </w:rPr>
            </w:pPr>
            <w:r>
              <w:rPr>
                <w:rFonts w:ascii="Arial" w:cs="Arial" w:eastAsia="Arial" w:hAnsi="Arial"/>
                <w:sz w:val="18"/>
                <w:szCs w:val="18"/>
                <w:color w:val="auto"/>
                <w:w w:val="95"/>
              </w:rPr>
              <w:t>Net loss from continuing operations attributable to the shareholders of</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(5,526)</w:t>
            </w: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(17,410)</w:t>
            </w: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(23,473)</w:t>
            </w:r>
          </w:p>
        </w:tc>
        <w:tc>
          <w:tcPr>
            <w:tcW w:w="360" w:type="dxa"/>
            <w:vAlign w:val="bottom"/>
            <w:gridSpan w:val="2"/>
            <w:vMerge w:val="restart"/>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(45,760)</w:t>
            </w:r>
          </w:p>
        </w:tc>
        <w:tc>
          <w:tcPr>
            <w:tcW w:w="0" w:type="dxa"/>
            <w:vAlign w:val="bottom"/>
          </w:tcPr>
          <w:p>
            <w:pPr>
              <w:spacing w:after="0"/>
              <w:rPr>
                <w:sz w:val="1"/>
                <w:szCs w:val="1"/>
                <w:color w:val="auto"/>
              </w:rPr>
            </w:pPr>
          </w:p>
        </w:tc>
      </w:tr>
      <w:tr>
        <w:trPr>
          <w:trHeight w:val="144"/>
        </w:trPr>
        <w:tc>
          <w:tcPr>
            <w:tcW w:w="5480" w:type="dxa"/>
            <w:vAlign w:val="bottom"/>
            <w:vMerge w:val="restart"/>
          </w:tcPr>
          <w:p>
            <w:pPr>
              <w:ind w:left="140"/>
              <w:spacing w:after="0"/>
              <w:rPr>
                <w:sz w:val="20"/>
                <w:szCs w:val="20"/>
                <w:color w:val="auto"/>
              </w:rPr>
            </w:pPr>
            <w:r>
              <w:rPr>
                <w:rFonts w:ascii="Arial" w:cs="Arial" w:eastAsia="Arial" w:hAnsi="Arial"/>
                <w:sz w:val="18"/>
                <w:szCs w:val="18"/>
                <w:color w:val="auto"/>
              </w:rPr>
              <w:t>Cronos Group</w:t>
            </w:r>
          </w:p>
        </w:tc>
        <w:tc>
          <w:tcPr>
            <w:tcW w:w="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5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54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1"/>
              </w:rPr>
              <w:t>Weighted-average number of common shares outstanding for computation</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380,961,682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376,031,860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380,792,802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375,530,077</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for basic and diluted loss per share</w:t>
            </w:r>
            <w:r>
              <w:rPr>
                <w:rFonts w:ascii="Arial" w:cs="Arial" w:eastAsia="Arial" w:hAnsi="Arial"/>
                <w:sz w:val="22"/>
                <w:szCs w:val="22"/>
                <w:color w:val="auto"/>
                <w:vertAlign w:val="superscript"/>
              </w:rPr>
              <w:t>(i)</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140"/>
              <w:spacing w:after="0"/>
              <w:rPr>
                <w:sz w:val="20"/>
                <w:szCs w:val="20"/>
                <w:color w:val="auto"/>
              </w:rPr>
            </w:pPr>
            <w:r>
              <w:rPr>
                <w:rFonts w:ascii="Arial" w:cs="Arial" w:eastAsia="Arial" w:hAnsi="Arial"/>
                <w:sz w:val="18"/>
                <w:szCs w:val="18"/>
                <w:color w:val="auto"/>
              </w:rPr>
              <w:t>Basic loss from continuing operations per share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loss per share from 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480" w:type="dxa"/>
            <w:vAlign w:val="bottom"/>
            <w:shd w:val="clear" w:color="auto" w:fill="CCEEFF"/>
          </w:tcPr>
          <w:p>
            <w:pPr>
              <w:ind w:left="120"/>
              <w:spacing w:after="0" w:line="173" w:lineRule="exact"/>
              <w:rPr>
                <w:sz w:val="20"/>
                <w:szCs w:val="20"/>
                <w:color w:val="auto"/>
              </w:rPr>
            </w:pPr>
            <w:r>
              <w:rPr>
                <w:rFonts w:ascii="Arial" w:cs="Arial" w:eastAsia="Arial" w:hAnsi="Arial"/>
                <w:sz w:val="18"/>
                <w:szCs w:val="18"/>
                <w:color w:val="auto"/>
                <w:w w:val="97"/>
              </w:rPr>
              <w:t>Loss from discontinued operations attributable to the shareholders of</w:t>
            </w: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40" w:type="dxa"/>
            <w:vAlign w:val="bottom"/>
            <w:gridSpan w:val="2"/>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340" w:type="dxa"/>
            <w:vAlign w:val="bottom"/>
            <w:gridSpan w:val="2"/>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60" w:type="dxa"/>
            <w:vAlign w:val="bottom"/>
            <w:gridSpan w:val="2"/>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131"/>
        </w:trPr>
        <w:tc>
          <w:tcPr>
            <w:tcW w:w="54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Cronos Group</w:t>
            </w:r>
          </w:p>
        </w:tc>
        <w:tc>
          <w:tcPr>
            <w:tcW w:w="2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4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line="179" w:lineRule="exact"/>
              <w:rPr>
                <w:sz w:val="20"/>
                <w:szCs w:val="20"/>
                <w:color w:val="auto"/>
              </w:rPr>
            </w:pPr>
            <w:r>
              <w:rPr>
                <w:rFonts w:ascii="Arial" w:cs="Arial" w:eastAsia="Arial" w:hAnsi="Arial"/>
                <w:sz w:val="18"/>
                <w:szCs w:val="18"/>
                <w:color w:val="auto"/>
                <w:w w:val="91"/>
              </w:rPr>
              <w:t>Weighted-average number of common shares outstanding for computation</w:t>
            </w: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380,961,682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376,031,860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380,792,802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375,530,077</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line="219" w:lineRule="exact"/>
              <w:rPr>
                <w:sz w:val="20"/>
                <w:szCs w:val="20"/>
                <w:color w:val="auto"/>
              </w:rPr>
            </w:pPr>
            <w:r>
              <w:rPr>
                <w:rFonts w:ascii="Arial" w:cs="Arial" w:eastAsia="Arial" w:hAnsi="Arial"/>
                <w:sz w:val="18"/>
                <w:szCs w:val="18"/>
                <w:color w:val="auto"/>
              </w:rPr>
              <w:t>for basic and diluted loss per share</w:t>
            </w:r>
            <w:r>
              <w:rPr>
                <w:rFonts w:ascii="Arial" w:cs="Arial" w:eastAsia="Arial" w:hAnsi="Arial"/>
                <w:sz w:val="22"/>
                <w:szCs w:val="22"/>
                <w:color w:val="auto"/>
                <w:vertAlign w:val="superscript"/>
              </w:rPr>
              <w:t>(i)</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loss from discontinued operations per share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40"/>
              <w:spacing w:after="0"/>
              <w:rPr>
                <w:sz w:val="20"/>
                <w:szCs w:val="20"/>
                <w:color w:val="auto"/>
              </w:rPr>
            </w:pPr>
            <w:r>
              <w:rPr>
                <w:rFonts w:ascii="Arial" w:cs="Arial" w:eastAsia="Arial" w:hAnsi="Arial"/>
                <w:sz w:val="18"/>
                <w:szCs w:val="18"/>
                <w:color w:val="auto"/>
              </w:rPr>
              <w:t>Diluted loss from discontinued operations per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52"/>
              <w:spacing w:after="0" w:line="198"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52"/>
              <w:spacing w:after="0" w:line="198"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72"/>
              <w:spacing w:after="0" w:line="198"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4"/>
        <w:spacing w:after="0" w:line="221" w:lineRule="auto"/>
        <w:tabs>
          <w:tab w:leader="none" w:pos="3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 computing diluted loss per share, incremental common shares are not considered in periods in which a net loss is reported as the inclusion of the common share equivalents would be anti-dilutive.</w:t>
      </w:r>
    </w:p>
    <w:p>
      <w:pPr>
        <w:spacing w:after="0" w:line="10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For the three months ended June 30, 2023 and 2022, total securities of 28,769,758 and 119,589,123, respectively, were not included in the computation of diluted shares outstanding because the effect would be anti-dilutive. For the six months ended June 30, 2023 and 2022, total securities of 29,428,093 and 118,906,603, respectively, were not included in the computation of diluted shares outstanding because the effect would be anti-dilutive.</w:t>
      </w:r>
    </w:p>
    <w:p>
      <w:pPr>
        <w:spacing w:after="0" w:line="135" w:lineRule="exact"/>
        <w:rPr>
          <w:sz w:val="20"/>
          <w:szCs w:val="20"/>
          <w:color w:val="auto"/>
        </w:rPr>
      </w:pPr>
    </w:p>
    <w:p>
      <w:pPr>
        <w:ind w:left="360" w:hanging="314"/>
        <w:spacing w:after="0"/>
        <w:tabs>
          <w:tab w:leader="none" w:pos="360" w:val="left"/>
        </w:tabs>
        <w:numPr>
          <w:ilvl w:val="1"/>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Commitments and Contingencies</w:t>
      </w:r>
    </w:p>
    <w:p>
      <w:pPr>
        <w:spacing w:after="0" w:line="218" w:lineRule="exact"/>
        <w:rPr>
          <w:rFonts w:ascii="Arial" w:cs="Arial" w:eastAsia="Arial" w:hAnsi="Arial"/>
          <w:sz w:val="21"/>
          <w:szCs w:val="21"/>
          <w:b w:val="1"/>
          <w:bCs w:val="1"/>
          <w:color w:val="auto"/>
        </w:rPr>
      </w:pPr>
    </w:p>
    <w:p>
      <w:pPr>
        <w:ind w:left="640" w:hanging="634"/>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regarding commitments as disclosed in the Company’s Annual Report.</w:t>
      </w:r>
    </w:p>
    <w:p>
      <w:pPr>
        <w:spacing w:after="0" w:line="105"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financial condition but could be material to its results of operations for a quarterly period depending, in part, on its results for that quarter.</w:t>
      </w:r>
    </w:p>
    <w:p>
      <w:pPr>
        <w:spacing w:after="0" w:line="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Class action complaints relating to restatement of 2019 interim financial statements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11 and 12, 2020, two alleged shareholders of the Company separately filed two putative class action complaints in the U.S. District Court for the Eastern District of New York against the Company and its Chief Executive Officer and now former Chief Financial Officer. The court has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revenues and internal control were incorrect based on the Company’s disclosures relating to the Audit Committee of the Board’s review of the appropriateness of revenue recognized in connection with certain bulk resin purchases and sales of products through the wholesale channel. The consolidated amended complaint does not quantify a damage request. Defendants moved to dismiss on February 8,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names (i) the Company, (ii) its Chief Executive Officer, (iii) now former Chief Financial Officer, (iv) former Chief Financial Officer and Chief Commercial Officer, and (v) current and former members of the Board as defendants and alleges breaches of the Ontario Securities Act, oppression under the Ontario Business Corporations Act and common law misrepresentation. The Amended Statement of Claim generally alleges that certain of the Company’s prior public statements about revenues and internal control were misrepresentations based on the Company’s March 2, 2020 disclosure that the Audit Committee of the Board was conducting a review of the appropriateness of revenue recognized in connection with certain bulk resin purchases and sales of products through the wholesale channel, and the Company’s subsequent restatement. The Amended Statement of Claim does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Regulatory reviews relating to restatements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been responding to requests for information from various regulatory authorities relating to its previously disclosed restatement of its financial statements for the first three quarters of 2019 as well as the previously disclosed restatement of the second quarter of 2021 interim financial statements (collectively, the “Restatements”). The Company has been responding to all such requests for information and cooperating with all regulatory authorities.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Settlement</w:t>
      </w:r>
    </w:p>
    <w:p>
      <w:pPr>
        <w:spacing w:after="0" w:line="11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On October 24, 2022, the SEC issued an Order Instituting Cease-and-Desist Proceedings Pursuant to Section 8(a) of the Securities Act of 1933 (the “Securities Act”) and Section 21(c) of the Exchange Act, Making Findings, and Imposing a Cease-and-Desist Order (the “Settlement Order”) resolving the Restatements.</w:t>
      </w:r>
    </w:p>
    <w:p>
      <w:pPr>
        <w:spacing w:after="0" w:line="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Company has agreed to settle with the SEC, without admitting or denying the allegations described in the Settlement Order. The Settlement Order fully and finally disposes of the investigation of the Company by the SEC into the Restatements without the payment of any civil penalty or other amount.</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Settlement Order required the Company to cease and desist from committing or causing any violations and any future violations of Section 17(a) of the Securities Act, Sections 10(b), 13(a), 13(b)(2)(B) of the Exchange Act and Rules 10b-5, 13a-13, 13a-15(a), 13a-16 and 12b-20 thereunder. Additionally, the Company agreed to certain undertakings, which include, among other things, retaining a qualified independent consultant (the “Consultant”) to engage in a review of, and make recommendations with respect to, certain of the Company’s internal accounting controls and internal control over financing reporting. The Consultant’s review has been completed.</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is unable to rely on the safe harbor provisions of the U.S. Private Securities Litigation Reform Act of 1995 for a period of three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OSC Settlement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24, 2022, the Ontario Capital Markets Tribunal approved a settlement agreement (the “Settlement Agreement”) between the Company and the staff of the OSC, resolving the Restatements.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terms of the Settlement Agreement, which fully and finally disposed the investigation of the Company by the OSC, Cronos agreed to pay a total of C$1.34 million to fully settle the matter, and acknowledged that it had failed to comply with the requirement under Section 77 of the Securities Act (Ontario) to file interim financial reports in the manner set out therein and had acted in a manner contrary to the public interest. Additionally, the Company agreed to retain the Consultant to engage in a review of, and make recommendations with respect to, certain of the Company’s internal accounting controls and internal control over financing reporting, on substantially the same terms as were required by the SEC pursuant the Settlement Agreement. The Consultant’s review has been completed.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Litigation relating to marketing, distribution and sale of products</w:t>
      </w:r>
    </w:p>
    <w:p>
      <w:pPr>
        <w:spacing w:after="0" w:line="9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complies with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In general, fair values are determined by:</w:t>
      </w:r>
    </w:p>
    <w:p>
      <w:pPr>
        <w:spacing w:after="0" w:line="82"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inputs utilize quoted prices (unadjusted) in active markets for identical assets or liabilities.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inputs utilize data points that are observable such as quoted prices, interest rates and yield curves.</w:t>
      </w:r>
    </w:p>
    <w:p>
      <w:pPr>
        <w:spacing w:after="0" w:line="111" w:lineRule="exact"/>
        <w:rPr>
          <w:rFonts w:ascii="Arial" w:cs="Arial" w:eastAsia="Arial" w:hAnsi="Arial"/>
          <w:sz w:val="18"/>
          <w:szCs w:val="18"/>
          <w:color w:val="auto"/>
        </w:rPr>
      </w:pPr>
    </w:p>
    <w:p>
      <w:pPr>
        <w:ind w:left="640" w:right="100" w:hanging="316"/>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inputs are unobservable data points for the asset or liability, and include situations where there is little, if any, market activity for the asset or liability.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1"/>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409,428</w:t>
            </w:r>
          </w:p>
        </w:tc>
      </w:tr>
      <w:tr>
        <w:trPr>
          <w:trHeight w:val="231"/>
        </w:trPr>
        <w:tc>
          <w:tcPr>
            <w:tcW w:w="52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431,510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431,510</w:t>
            </w:r>
          </w:p>
        </w:tc>
      </w:tr>
      <w:tr>
        <w:trPr>
          <w:trHeight w:val="232"/>
        </w:trPr>
        <w:tc>
          <w:tcPr>
            <w:tcW w:w="522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Other investments</w:t>
            </w:r>
            <w:r>
              <w:rPr>
                <w:rFonts w:ascii="Arial" w:cs="Arial" w:eastAsia="Arial" w:hAnsi="Arial"/>
                <w:sz w:val="22"/>
                <w:szCs w:val="22"/>
                <w:color w:val="auto"/>
                <w:vertAlign w:val="superscript"/>
              </w:rPr>
              <w:t>(i)</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83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75"/>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3"/>
        </w:trPr>
        <w:tc>
          <w:tcPr>
            <w:tcW w:w="5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Cronos Group Inc.</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w w:val="88"/>
              </w:rPr>
              <w:t>Notes to Condensed Consolidated Financial Statements (Unaudited)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87"/>
        </w:trPr>
        <w:tc>
          <w:tcPr>
            <w:tcW w:w="522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(In thousands of U.S. dollars, except share amounts)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40" w:type="dxa"/>
            <w:vAlign w:val="bottom"/>
            <w:gridSpan w:val="5"/>
          </w:tcPr>
          <w:p>
            <w:pPr>
              <w:jc w:val="right"/>
              <w:ind w:right="580"/>
              <w:spacing w:after="0" w:line="187" w:lineRule="exact"/>
              <w:rPr>
                <w:sz w:val="20"/>
                <w:szCs w:val="20"/>
                <w:color w:val="auto"/>
              </w:rPr>
            </w:pPr>
            <w:r>
              <w:rPr>
                <w:rFonts w:ascii="Arial" w:cs="Arial" w:eastAsia="Arial" w:hAnsi="Arial"/>
                <w:sz w:val="18"/>
                <w:szCs w:val="18"/>
                <w:color w:val="0000FF"/>
                <w:w w:val="87"/>
              </w:rPr>
              <w:t>Table of Contents</w:t>
            </w:r>
          </w:p>
        </w:tc>
      </w:tr>
      <w:tr>
        <w:trPr>
          <w:trHeight w:val="889"/>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top w:val="single" w:sz="8" w:color="0000FF"/>
              <w:bottom w:val="single" w:sz="8" w:color="auto"/>
            </w:tcBorders>
          </w:tcPr>
          <w:p>
            <w:pPr>
              <w:spacing w:after="0"/>
              <w:rPr>
                <w:sz w:val="24"/>
                <w:szCs w:val="24"/>
                <w:color w:val="auto"/>
              </w:rPr>
            </w:pPr>
          </w:p>
        </w:tc>
        <w:tc>
          <w:tcPr>
            <w:tcW w:w="200" w:type="dxa"/>
            <w:vAlign w:val="bottom"/>
            <w:tcBorders>
              <w:top w:val="single" w:sz="8" w:color="0000FF"/>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460" w:type="dxa"/>
            <w:vAlign w:val="bottom"/>
            <w:tcBorders>
              <w:top w:val="single" w:sz="8" w:color="0000FF"/>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91"/>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764,644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764,644</w:t>
            </w:r>
          </w:p>
        </w:tc>
      </w:tr>
      <w:tr>
        <w:trPr>
          <w:trHeight w:val="231"/>
        </w:trPr>
        <w:tc>
          <w:tcPr>
            <w:tcW w:w="52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113,077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113,077</w:t>
            </w:r>
          </w:p>
        </w:tc>
      </w:tr>
      <w:tr>
        <w:trPr>
          <w:trHeight w:val="232"/>
        </w:trPr>
        <w:tc>
          <w:tcPr>
            <w:tcW w:w="522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Other investments</w:t>
            </w:r>
            <w:r>
              <w:rPr>
                <w:rFonts w:ascii="Arial" w:cs="Arial" w:eastAsia="Arial" w:hAnsi="Arial"/>
                <w:sz w:val="22"/>
                <w:szCs w:val="22"/>
                <w:color w:val="auto"/>
                <w:vertAlign w:val="superscript"/>
              </w:rPr>
              <w:t>(i)</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21,993</w:t>
            </w: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181" w:lineRule="exact"/>
        <w:rPr>
          <w:sz w:val="20"/>
          <w:szCs w:val="20"/>
          <w:color w:val="auto"/>
        </w:rPr>
      </w:pPr>
    </w:p>
    <w:p>
      <w:pPr>
        <w:ind w:left="480" w:hanging="474"/>
        <w:spacing w:after="0" w:line="229" w:lineRule="auto"/>
        <w:tabs>
          <w:tab w:leader="none" w:pos="48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As of June 30, 2023 and December 31, 2022, the Company’s influence on Vitura is deemed non-significant and the investment is considered an equity security with a readily determinable fair value. See Note 4 “Investments”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categories during the periods presented.</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non-recurring basis and indicates the fair value hierarchy of the valuation techniques the Company utilized to determine such fair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1"/>
        </w:trPr>
        <w:tc>
          <w:tcPr>
            <w:tcW w:w="5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225"/>
        </w:trPr>
        <w:tc>
          <w:tcPr>
            <w:tcW w:w="5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Other investments</w:t>
            </w:r>
            <w:r>
              <w:rPr>
                <w:rFonts w:ascii="Arial" w:cs="Arial" w:eastAsia="Arial" w:hAnsi="Arial"/>
                <w:sz w:val="22"/>
                <w:szCs w:val="22"/>
                <w:color w:val="auto"/>
                <w:vertAlign w:val="superscript"/>
              </w:rPr>
              <w:t>(i)</w:t>
            </w:r>
          </w:p>
        </w:tc>
        <w:tc>
          <w:tcPr>
            <w:tcW w:w="10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49,000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400"/>
        </w:trPr>
        <w:tc>
          <w:tcPr>
            <w:tcW w:w="5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jc w:val="right"/>
              <w:ind w:right="669"/>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8"/>
        </w:trPr>
        <w:tc>
          <w:tcPr>
            <w:tcW w:w="5180" w:type="dxa"/>
            <w:vAlign w:val="bottom"/>
          </w:tcPr>
          <w:p>
            <w:pPr>
              <w:spacing w:after="0"/>
              <w:rPr>
                <w:sz w:val="15"/>
                <w:szCs w:val="15"/>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233"/>
        </w:trPr>
        <w:tc>
          <w:tcPr>
            <w:tcW w:w="62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8"/>
                <w:szCs w:val="18"/>
                <w:color w:val="auto"/>
              </w:rPr>
              <w:t>Other investments</w:t>
            </w:r>
            <w:r>
              <w:rPr>
                <w:rFonts w:ascii="Arial" w:cs="Arial" w:eastAsia="Arial" w:hAnsi="Arial"/>
                <w:sz w:val="22"/>
                <w:szCs w:val="22"/>
                <w:color w:val="auto"/>
                <w:vertAlign w:val="superscript"/>
              </w:rPr>
              <w:t>(i)</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49,000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w:t>
            </w:r>
          </w:p>
        </w:tc>
      </w:tr>
    </w:tbl>
    <w:p>
      <w:pPr>
        <w:spacing w:after="0" w:line="167" w:lineRule="exact"/>
        <w:rPr>
          <w:sz w:val="20"/>
          <w:szCs w:val="20"/>
          <w:color w:val="auto"/>
        </w:rPr>
      </w:pPr>
    </w:p>
    <w:p>
      <w:pPr>
        <w:jc w:val="both"/>
        <w:ind w:left="640" w:hanging="634"/>
        <w:spacing w:after="0" w:line="257" w:lineRule="auto"/>
        <w:tabs>
          <w:tab w:leader="none" w:pos="640" w:val="left"/>
        </w:tabs>
        <w:numPr>
          <w:ilvl w:val="0"/>
          <w:numId w:val="30"/>
        </w:numPr>
        <w:rPr>
          <w:rFonts w:ascii="Arial" w:cs="Arial" w:eastAsia="Arial" w:hAnsi="Arial"/>
          <w:sz w:val="17"/>
          <w:szCs w:val="17"/>
          <w:i w:val="1"/>
          <w:iCs w:val="1"/>
          <w:color w:val="auto"/>
          <w:vertAlign w:val="superscript"/>
        </w:rPr>
      </w:pPr>
      <w:r>
        <w:rPr>
          <w:rFonts w:ascii="Arial" w:cs="Arial" w:eastAsia="Arial" w:hAnsi="Arial"/>
          <w:sz w:val="13"/>
          <w:szCs w:val="13"/>
          <w:color w:val="auto"/>
        </w:rPr>
        <w:t>On June 14, 2021, the Company purchased an option to acquire 473,787 shares of Class A Common Stock of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On February 28, 2022, PharmaCann closed its previously announced transaction with LivWell Holdings Inc. (“LivWell”) pursuant to which PharmaCann acquired LivWell (“the LivWell Transaction”). LivWell is a multi-state cannabis cultivation and retail leader based in Colorado. As a result of the LivWell Transaction, the Company’s ownership percentage in PharmaCann on a fully diluted basis decreased to approximately 6.4%. As of both June 30, 2023 and December 31, 2022, the Company’s ownership percentage in PharmaCann on a fully diluted basis was approximately 6.3%. See Note 4 “</w:t>
      </w:r>
      <w:r>
        <w:rPr>
          <w:rFonts w:ascii="Arial" w:cs="Arial" w:eastAsia="Arial" w:hAnsi="Arial"/>
          <w:sz w:val="13"/>
          <w:szCs w:val="13"/>
          <w:i w:val="1"/>
          <w:iCs w:val="1"/>
          <w:color w:val="auto"/>
        </w:rPr>
        <w:t>Investments</w:t>
      </w:r>
      <w:r>
        <w:rPr>
          <w:rFonts w:ascii="Arial" w:cs="Arial" w:eastAsia="Arial" w:hAnsi="Arial"/>
          <w:sz w:val="13"/>
          <w:szCs w:val="13"/>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categories during the periods presented.</w:t>
      </w:r>
    </w:p>
    <w:p>
      <w:pPr>
        <w:spacing w:after="0" w:line="215" w:lineRule="exact"/>
        <w:rPr>
          <w:sz w:val="20"/>
          <w:szCs w:val="20"/>
          <w:color w:val="auto"/>
        </w:rPr>
      </w:pPr>
    </w:p>
    <w:p>
      <w:pPr>
        <w:ind w:left="360" w:hanging="314"/>
        <w:spacing w:after="0"/>
        <w:tabs>
          <w:tab w:leader="none" w:pos="360" w:val="left"/>
        </w:tabs>
        <w:numPr>
          <w:ilvl w:val="1"/>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Impairment Loss on Long-lived Assets</w:t>
      </w:r>
    </w:p>
    <w:p>
      <w:pPr>
        <w:spacing w:after="0" w:line="218" w:lineRule="exact"/>
        <w:rPr>
          <w:rFonts w:ascii="Arial" w:cs="Arial" w:eastAsia="Arial" w:hAnsi="Arial"/>
          <w:sz w:val="21"/>
          <w:szCs w:val="21"/>
          <w:b w:val="1"/>
          <w:bCs w:val="1"/>
          <w:color w:val="auto"/>
        </w:rPr>
      </w:pPr>
    </w:p>
    <w:p>
      <w:pPr>
        <w:ind w:left="640" w:hanging="634"/>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property, plant, and equipment, net</w:t>
      </w:r>
    </w:p>
    <w:p>
      <w:pPr>
        <w:spacing w:after="0" w:line="1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During the six months ended June 30, 2022, the Company recognized an impairment charge of $1,986 related to the right-of-use lease asset associated with the Company’s corporate headquarters, encompassing approximately 29,000 square feet, in Toronto, Ontario, Canada, for which the Company determined it would seek a sublease. In addition, the Company recognized an impairment charge of $1,507 during the six months ended June 30, 2022 related to leasehold improvements and other office equipment that it plans to include in any potential sublease agreement. The determination to seek a sublease of the property and include leasehold improvements and other office equipment in any potential sublease agreement triggered the impairment charges. Both of the impairment charges are recognized as impairment loss on long-lived assets on the condensed consolidated statements of net loss and comprehensive income (loss).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Related Party Transactions</w:t>
      </w:r>
    </w:p>
    <w:p>
      <w:pPr>
        <w:spacing w:after="0" w:line="218" w:lineRule="exact"/>
        <w:rPr>
          <w:sz w:val="20"/>
          <w:szCs w:val="20"/>
          <w:color w:val="auto"/>
        </w:rPr>
      </w:pPr>
    </w:p>
    <w:p>
      <w:pPr>
        <w:ind w:left="1280" w:hanging="638"/>
        <w:spacing w:after="0"/>
        <w:tabs>
          <w:tab w:leader="none" w:pos="1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Cronos GrowCo</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Company holds a variable interest in Cronos GrowCo through its ownership of 50% of Cronos GrowCo’s common shares and senior secured debt in Cronos GrowCo. See Note 4 “</w:t>
      </w:r>
      <w:r>
        <w:rPr>
          <w:rFonts w:ascii="Arial" w:cs="Arial" w:eastAsia="Arial" w:hAnsi="Arial"/>
          <w:sz w:val="18"/>
          <w:szCs w:val="18"/>
          <w:i w:val="1"/>
          <w:iCs w:val="1"/>
          <w:color w:val="auto"/>
        </w:rPr>
        <w:t>Investments</w:t>
      </w:r>
      <w:r>
        <w:rPr>
          <w:rFonts w:ascii="Arial" w:cs="Arial" w:eastAsia="Arial" w:hAnsi="Arial"/>
          <w:sz w:val="18"/>
          <w:szCs w:val="18"/>
          <w:color w:val="auto"/>
        </w:rPr>
        <w:t>”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the following purchases of cannabis products from Cronos GrowCo: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51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Cronos GrowCo - purchases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6,549</w:t>
            </w:r>
          </w:p>
        </w:tc>
        <w:tc>
          <w:tcPr>
            <w:tcW w:w="960" w:type="dxa"/>
            <w:vAlign w:val="bottom"/>
            <w:gridSpan w:val="2"/>
            <w:shd w:val="clear" w:color="auto" w:fill="CCEEFF"/>
          </w:tcPr>
          <w:p>
            <w:pPr>
              <w:jc w:val="right"/>
              <w:ind w:right="68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5,597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14,015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t>Cronos Group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8"/>
          <w:szCs w:val="18"/>
          <w:i w:val="1"/>
          <w:iCs w:val="1"/>
          <w:color w:val="auto"/>
        </w:rPr>
        <w:t>(In thousands of U.S. dollars, except share amounts)</w:t>
      </w:r>
      <w:r>
        <w:rPr>
          <w:sz w:val="20"/>
          <w:szCs w:val="20"/>
          <w:color w:val="auto"/>
        </w:rPr>
        <w:tab/>
      </w: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and December 31, 2022, the Company had payables outstanding to Cronos GrowCo of $2,682 and $2,519, respectively.</w:t>
      </w:r>
    </w:p>
    <w:p>
      <w:pPr>
        <w:spacing w:after="0" w:line="10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Additionally, on August 23, 2019, the Company, as lender, and Cronos GrowCo, as borrower, entered into the GrowCo Facility. See Note 5 “</w:t>
      </w:r>
      <w:r>
        <w:rPr>
          <w:rFonts w:ascii="Arial" w:cs="Arial" w:eastAsia="Arial" w:hAnsi="Arial"/>
          <w:sz w:val="18"/>
          <w:szCs w:val="18"/>
          <w:i w:val="1"/>
          <w:iCs w:val="1"/>
          <w:color w:val="auto"/>
        </w:rPr>
        <w:t>Loans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net</w:t>
      </w:r>
      <w:r>
        <w:rPr>
          <w:rFonts w:ascii="Arial" w:cs="Arial" w:eastAsia="Arial" w:hAnsi="Arial"/>
          <w:sz w:val="18"/>
          <w:szCs w:val="18"/>
          <w:color w:val="auto"/>
        </w:rPr>
        <w:t>” for additional information.</w:t>
      </w:r>
    </w:p>
    <w:p>
      <w:pPr>
        <w:spacing w:after="0" w:line="55" w:lineRule="exact"/>
        <w:rPr>
          <w:sz w:val="20"/>
          <w:szCs w:val="20"/>
          <w:color w:val="auto"/>
        </w:rPr>
      </w:pPr>
    </w:p>
    <w:p>
      <w:pPr>
        <w:ind w:left="640" w:hanging="634"/>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Vendor Agreement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November 2022, the Company entered into an agreement with an external vendor whereby the vendor would provide certain manufacturing services to the Company. The vendor then subcontracted out a portion of those services to another company whose chief executive officer is an immediate family member of an executive of the Company. The Company has no direct contractual relationship with the related party.</w:t>
      </w:r>
    </w:p>
    <w:p>
      <w:pPr>
        <w:spacing w:after="0" w:line="58" w:lineRule="exact"/>
        <w:rPr>
          <w:sz w:val="20"/>
          <w:szCs w:val="20"/>
          <w:color w:val="auto"/>
        </w:rPr>
      </w:pPr>
    </w:p>
    <w:p>
      <w:pPr>
        <w:ind w:right="200"/>
        <w:spacing w:after="0" w:line="328" w:lineRule="auto"/>
        <w:rPr>
          <w:sz w:val="20"/>
          <w:szCs w:val="20"/>
          <w:color w:val="auto"/>
        </w:rPr>
      </w:pPr>
      <w:r>
        <w:rPr>
          <w:rFonts w:ascii="Arial" w:cs="Arial" w:eastAsia="Arial" w:hAnsi="Arial"/>
          <w:sz w:val="15"/>
          <w:szCs w:val="15"/>
          <w:color w:val="auto"/>
        </w:rPr>
        <w:t>During the three and six months ended June 30, 2023, the Company purchased $603 and $1,436, respectively, of products and services under this agreement and had outstanding accounts payable related to the agreement of $45 and $nil as of June 30, 2023 and December 31, 2022, respectively.</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Subsequent Events</w:t>
      </w:r>
    </w:p>
    <w:p>
      <w:pPr>
        <w:spacing w:after="0" w:line="218"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Planned Exit of the Fermentation Facility</w:t>
      </w:r>
    </w:p>
    <w:p>
      <w:pPr>
        <w:spacing w:after="0" w:line="10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August 4, 2023, the Board approved plans to wind-down operations at its Winnipeg, Manitoba facility (“Cronos Fermentation”) and list the Cronos Fermentation facility for sale. The Company expects to incur approximately $1,200 in restructuring costs associated with the exit of Cronos Fermentation facility. These charges include employee-related costs such as severance, relocation and other termination benefits, as well as contract termination and other related costs, which are expected to be incurred primarily in the second half of 2023, but do not include any impairment charges to property, plant or equipment. These anticipated charges are subject to a number of assumptions, including the ability to wind down Cronos Fermentation efficiently and effectively, the length of the sales process, the bids received in the sale process, market factors and others. As a result of these assumptions, actual results may differ materially. The Company cannot, at this time, quantify the impairment charges, if any, to long-lived assets associated with the wind-down.</w:t>
      </w:r>
    </w:p>
    <w:p>
      <w:pPr>
        <w:spacing w:after="0" w:line="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Cost Reductions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Also on August 4, 2023, the Board approved additional organization-wide cost reductions. Expected restructuring costs of approximately $2,000, with the majority expected to be incurred in the second half of 2023, include mostly one-time employee-related severance charges. These anticipated costs are subject to a number of assumptions, including the ability of the Company to effectively and efficiently further streamline operations, the number of employee reductions, the timing of employee reductions, the level of the Company’s operations, market factors and others. As a result of these assumptions, actual results may differ materially.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26" w:name="page27"/>
    <w:bookmarkEnd w:id="26"/>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following discussion and analysis should be read together with other information, including Cronos Group’s condensed consolidated interim financial statements and the related notes to those statements, included in Part I, Item 1 of this Quarterly Report on Form 10-Q for the quarterly period ended June 30, 2023 (this “Quarterly Report”), consolidated financial statements appearing in the Company’s Annual Report on Form 10-K for the year ended December 31, 2022 (the “Annual Report”), Part I, Item 1A, Risk Factors, of the Annual Report and Part II, Item 1A, Risk Factors, of this Quarterly Report.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This Quarterly Report, the documents incorporated into this Quarterly Report by reference, other reports we file with, or furnish to, the U.S. Securities and Exchange Commission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111" w:lineRule="exact"/>
        <w:rPr>
          <w:sz w:val="20"/>
          <w:szCs w:val="20"/>
          <w:color w:val="auto"/>
        </w:rPr>
      </w:pPr>
    </w:p>
    <w:p>
      <w:pPr>
        <w:jc w:val="both"/>
        <w:ind w:left="320" w:hanging="314"/>
        <w:spacing w:after="0" w:line="300" w:lineRule="auto"/>
        <w:tabs>
          <w:tab w:leader="none" w:pos="3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expectations related to our announcement of additional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ind w:left="320" w:hanging="314"/>
        <w:spacing w:after="0" w:line="260"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ind w:left="320" w:hanging="314"/>
        <w:spacing w:after="0" w:line="294" w:lineRule="auto"/>
        <w:tabs>
          <w:tab w:leader="none" w:pos="3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29" w:lineRule="exact"/>
        <w:rPr>
          <w:rFonts w:ascii="Arial" w:cs="Arial" w:eastAsia="Arial" w:hAnsi="Arial"/>
          <w:sz w:val="15"/>
          <w:szCs w:val="15"/>
          <w:color w:val="auto"/>
        </w:rPr>
      </w:pPr>
    </w:p>
    <w:p>
      <w:pPr>
        <w:ind w:left="320" w:hanging="314"/>
        <w:spacing w:after="0" w:line="232" w:lineRule="auto"/>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the timing of the change in the nature of operations at our facility in Stayner, Ontario (the “Peace Naturals Campus”) and the expected costs and benefits from the wind-down of cultivation and certain production activities at the Peace Naturals Campus;</w:t>
      </w:r>
    </w:p>
    <w:p>
      <w:pPr>
        <w:spacing w:after="0" w:line="30" w:lineRule="exact"/>
        <w:rPr>
          <w:rFonts w:ascii="Arial" w:cs="Arial" w:eastAsia="Arial" w:hAnsi="Arial"/>
          <w:sz w:val="21"/>
          <w:szCs w:val="21"/>
          <w:color w:val="auto"/>
        </w:rPr>
      </w:pPr>
    </w:p>
    <w:p>
      <w:pPr>
        <w:ind w:left="320" w:hanging="314"/>
        <w:spacing w:after="0" w:line="245" w:lineRule="auto"/>
        <w:tabs>
          <w:tab w:leader="none" w:pos="320" w:val="left"/>
        </w:tabs>
        <w:numPr>
          <w:ilvl w:val="0"/>
          <w:numId w:val="35"/>
        </w:numPr>
        <w:rPr>
          <w:rFonts w:ascii="Arial" w:cs="Arial" w:eastAsia="Arial" w:hAnsi="Arial"/>
          <w:sz w:val="20"/>
          <w:szCs w:val="20"/>
          <w:color w:val="auto"/>
        </w:rPr>
      </w:pPr>
      <w:r>
        <w:rPr>
          <w:rFonts w:ascii="Arial" w:cs="Arial" w:eastAsia="Arial" w:hAnsi="Arial"/>
          <w:sz w:val="17"/>
          <w:szCs w:val="17"/>
          <w:color w:val="auto"/>
        </w:rPr>
        <w:t>our ability to effectively wind-down cultivation and certain production activities at the Peace Naturals Campus in an organized fashion and acquire raw materials from other suppliers, including Cronos Growing Company Inc. (“Cronos GrowCo”), and the costs and timing associated therewith;</w:t>
      </w:r>
    </w:p>
    <w:p>
      <w:pPr>
        <w:spacing w:after="0" w:line="29" w:lineRule="exact"/>
        <w:rPr>
          <w:rFonts w:ascii="Arial" w:cs="Arial" w:eastAsia="Arial" w:hAnsi="Arial"/>
          <w:sz w:val="20"/>
          <w:szCs w:val="20"/>
          <w:color w:val="auto"/>
        </w:rPr>
      </w:pPr>
    </w:p>
    <w:p>
      <w:pPr>
        <w:ind w:left="320" w:hanging="314"/>
        <w:spacing w:after="0" w:line="253" w:lineRule="auto"/>
        <w:tabs>
          <w:tab w:leader="none" w:pos="320" w:val="left"/>
        </w:tabs>
        <w:numPr>
          <w:ilvl w:val="0"/>
          <w:numId w:val="35"/>
        </w:numPr>
        <w:rPr>
          <w:rFonts w:ascii="Arial" w:cs="Arial" w:eastAsia="Arial" w:hAnsi="Arial"/>
          <w:sz w:val="20"/>
          <w:szCs w:val="20"/>
          <w:color w:val="auto"/>
        </w:rPr>
      </w:pPr>
      <w:r>
        <w:rPr>
          <w:rFonts w:ascii="Arial" w:cs="Arial" w:eastAsia="Arial" w:hAnsi="Arial"/>
          <w:sz w:val="17"/>
          <w:szCs w:val="17"/>
          <w:color w:val="auto"/>
        </w:rPr>
        <w:t>expectations regarding the potential success of, and the costs and benefits associated with, our joint ventures, strategic alliances and equity investments, including the strategic partnership (the “Ginkgo Strategic Partnership”) with Ginkgo Bioworks Holdings, Inc. (“Ginkgo”);</w:t>
      </w:r>
    </w:p>
    <w:p>
      <w:pPr>
        <w:spacing w:after="0" w:line="28" w:lineRule="exact"/>
        <w:rPr>
          <w:rFonts w:ascii="Arial" w:cs="Arial" w:eastAsia="Arial" w:hAnsi="Arial"/>
          <w:sz w:val="20"/>
          <w:szCs w:val="20"/>
          <w:color w:val="auto"/>
        </w:rPr>
      </w:pPr>
    </w:p>
    <w:p>
      <w:pPr>
        <w:ind w:left="320" w:hanging="314"/>
        <w:spacing w:after="0" w:line="232" w:lineRule="auto"/>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our ability or plans to identify, develop, commercialize or expand our technology and research and development (“R&amp;D”) initiatives in cannabinoids, or the success thereof;</w:t>
      </w:r>
    </w:p>
    <w:p>
      <w:pPr>
        <w:spacing w:after="0" w:line="12" w:lineRule="exact"/>
        <w:rPr>
          <w:rFonts w:ascii="Arial" w:cs="Arial" w:eastAsia="Arial" w:hAnsi="Arial"/>
          <w:sz w:val="21"/>
          <w:szCs w:val="21"/>
          <w:color w:val="auto"/>
        </w:rPr>
      </w:pPr>
    </w:p>
    <w:p>
      <w:pPr>
        <w:ind w:left="320" w:hanging="314"/>
        <w:spacing w:after="0"/>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expectations regarding revenues, expenses, gross margins and capital expenditures;</w:t>
      </w:r>
    </w:p>
    <w:p>
      <w:pPr>
        <w:spacing w:after="0" w:line="28" w:lineRule="exact"/>
        <w:rPr>
          <w:rFonts w:ascii="Arial" w:cs="Arial" w:eastAsia="Arial" w:hAnsi="Arial"/>
          <w:sz w:val="21"/>
          <w:szCs w:val="21"/>
          <w:color w:val="auto"/>
        </w:rPr>
      </w:pPr>
    </w:p>
    <w:p>
      <w:pPr>
        <w:ind w:left="320" w:hanging="314"/>
        <w:spacing w:after="0" w:line="232" w:lineRule="auto"/>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spacing w:after="0" w:line="30" w:lineRule="exact"/>
        <w:rPr>
          <w:rFonts w:ascii="Arial" w:cs="Arial" w:eastAsia="Arial" w:hAnsi="Arial"/>
          <w:sz w:val="21"/>
          <w:szCs w:val="21"/>
          <w:color w:val="auto"/>
        </w:rPr>
      </w:pPr>
    </w:p>
    <w:p>
      <w:pPr>
        <w:ind w:left="320" w:hanging="314"/>
        <w:spacing w:after="0" w:line="245" w:lineRule="auto"/>
        <w:tabs>
          <w:tab w:leader="none" w:pos="320" w:val="left"/>
        </w:tabs>
        <w:numPr>
          <w:ilvl w:val="0"/>
          <w:numId w:val="35"/>
        </w:numPr>
        <w:rPr>
          <w:rFonts w:ascii="Arial" w:cs="Arial" w:eastAsia="Arial" w:hAnsi="Arial"/>
          <w:sz w:val="20"/>
          <w:szCs w:val="20"/>
          <w:color w:val="auto"/>
        </w:rPr>
      </w:pPr>
      <w:r>
        <w:rPr>
          <w:rFonts w:ascii="Arial" w:cs="Arial" w:eastAsia="Arial" w:hAnsi="Arial"/>
          <w:sz w:val="17"/>
          <w:szCs w:val="17"/>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 w:lineRule="exact"/>
        <w:rPr>
          <w:rFonts w:ascii="Arial" w:cs="Arial" w:eastAsia="Arial" w:hAnsi="Arial"/>
          <w:sz w:val="20"/>
          <w:szCs w:val="20"/>
          <w:color w:val="auto"/>
        </w:rPr>
      </w:pPr>
    </w:p>
    <w:p>
      <w:pPr>
        <w:ind w:left="320" w:right="460" w:hanging="314"/>
        <w:spacing w:after="0" w:line="245"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including the United States, the related timing and impact thereof and our intentions to participate in such markets, if and when such use is legalized;</w:t>
      </w:r>
    </w:p>
    <w:p>
      <w:pPr>
        <w:spacing w:after="0" w:line="29"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pacing w:after="0" w:line="10" w:lineRule="exact"/>
        <w:rPr>
          <w:rFonts w:ascii="Arial" w:cs="Arial" w:eastAsia="Arial" w:hAnsi="Arial"/>
          <w:sz w:val="21"/>
          <w:szCs w:val="21"/>
          <w:color w:val="auto"/>
        </w:rPr>
      </w:pPr>
    </w:p>
    <w:p>
      <w:pPr>
        <w:ind w:left="320" w:hanging="314"/>
        <w:spacing w:after="0"/>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our ability to successfully create and launch brands and cannabis products;</w:t>
      </w:r>
    </w:p>
    <w:p>
      <w:pPr>
        <w:spacing w:after="0" w:line="12" w:lineRule="exact"/>
        <w:rPr>
          <w:rFonts w:ascii="Arial" w:cs="Arial" w:eastAsia="Arial" w:hAnsi="Arial"/>
          <w:sz w:val="21"/>
          <w:szCs w:val="21"/>
          <w:color w:val="auto"/>
        </w:rPr>
      </w:pPr>
    </w:p>
    <w:p>
      <w:pPr>
        <w:ind w:left="320" w:hanging="314"/>
        <w:spacing w:after="0" w:line="238" w:lineRule="auto"/>
        <w:tabs>
          <w:tab w:leader="none" w:pos="320" w:val="left"/>
        </w:tabs>
        <w:numPr>
          <w:ilvl w:val="0"/>
          <w:numId w:val="35"/>
        </w:numPr>
        <w:rPr>
          <w:rFonts w:ascii="Arial" w:cs="Arial" w:eastAsia="Arial" w:hAnsi="Arial"/>
          <w:sz w:val="21"/>
          <w:szCs w:val="21"/>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both"/>
        <w:ind w:left="320" w:hanging="314"/>
        <w:spacing w:after="0" w:line="239"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laws and regulations and any amendments thereto applicable to our business and the impact thereof, including uncertainty regarding the application of United States (“U.S.”) state and federal law and the scope of any regulations by the U.S. Food and Drug Administration (the “FDA”), the U.S. Drug Enforcement Administration (the “DEA”), the U.S. Federal Trade Commission (the “FTC”), the U.S. Patent and Trademark Office (the “PTO”) and any state equivalent regulatory agencies;</w:t>
      </w:r>
    </w:p>
    <w:p>
      <w:pPr>
        <w:spacing w:after="0" w:line="28" w:lineRule="exact"/>
        <w:rPr>
          <w:rFonts w:ascii="Arial" w:cs="Arial" w:eastAsia="Arial" w:hAnsi="Arial"/>
          <w:sz w:val="21"/>
          <w:szCs w:val="21"/>
          <w:color w:val="auto"/>
        </w:rPr>
      </w:pPr>
    </w:p>
    <w:p>
      <w:pPr>
        <w:ind w:left="320" w:hanging="314"/>
        <w:spacing w:after="0" w:line="232"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spacing w:after="0" w:line="30" w:lineRule="exact"/>
        <w:rPr>
          <w:rFonts w:ascii="Arial" w:cs="Arial" w:eastAsia="Arial" w:hAnsi="Arial"/>
          <w:sz w:val="21"/>
          <w:szCs w:val="21"/>
          <w:color w:val="auto"/>
        </w:rPr>
      </w:pPr>
    </w:p>
    <w:p>
      <w:pPr>
        <w:jc w:val="both"/>
        <w:ind w:left="320" w:hanging="314"/>
        <w:spacing w:after="0" w:line="241"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12" w:lineRule="exact"/>
        <w:rPr>
          <w:rFonts w:ascii="Arial" w:cs="Arial" w:eastAsia="Arial" w:hAnsi="Arial"/>
          <w:sz w:val="21"/>
          <w:szCs w:val="21"/>
          <w:color w:val="auto"/>
        </w:rPr>
      </w:pPr>
    </w:p>
    <w:p>
      <w:pPr>
        <w:ind w:left="320" w:hanging="314"/>
        <w:spacing w:after="0"/>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expectations regarding the implementation and effectiveness of key personnel changes;</w:t>
      </w:r>
    </w:p>
    <w:p>
      <w:pPr>
        <w:spacing w:after="0" w:line="12" w:lineRule="exact"/>
        <w:rPr>
          <w:rFonts w:ascii="Arial" w:cs="Arial" w:eastAsia="Arial" w:hAnsi="Arial"/>
          <w:sz w:val="21"/>
          <w:szCs w:val="21"/>
          <w:color w:val="auto"/>
        </w:rPr>
      </w:pPr>
    </w:p>
    <w:p>
      <w:pPr>
        <w:ind w:left="320" w:hanging="314"/>
        <w:spacing w:after="0" w:line="238"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expectations regarding acquisitions and dispositions and the anticipated benefits therefrom;</w:t>
      </w:r>
    </w:p>
    <w:p>
      <w:pPr>
        <w:spacing w:after="0" w:line="12" w:lineRule="exact"/>
        <w:rPr>
          <w:rFonts w:ascii="Arial" w:cs="Arial" w:eastAsia="Arial" w:hAnsi="Arial"/>
          <w:sz w:val="21"/>
          <w:szCs w:val="21"/>
          <w:color w:val="auto"/>
        </w:rPr>
      </w:pPr>
    </w:p>
    <w:p>
      <w:pPr>
        <w:ind w:left="320" w:hanging="314"/>
        <w:spacing w:after="0" w:line="238"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our ability to timely and effectively remediate any material weaknesses in our internal control over financial reporting;</w:t>
      </w:r>
    </w:p>
    <w:p>
      <w:pPr>
        <w:spacing w:after="0" w:line="22" w:lineRule="exact"/>
        <w:rPr>
          <w:rFonts w:ascii="Arial" w:cs="Arial" w:eastAsia="Arial" w:hAnsi="Arial"/>
          <w:sz w:val="21"/>
          <w:szCs w:val="21"/>
          <w:color w:val="auto"/>
        </w:rPr>
      </w:pPr>
    </w:p>
    <w:p>
      <w:pPr>
        <w:ind w:left="320" w:hanging="314"/>
        <w:spacing w:after="0"/>
        <w:tabs>
          <w:tab w:leader="none" w:pos="320" w:val="left"/>
        </w:tabs>
        <w:numPr>
          <w:ilvl w:val="0"/>
          <w:numId w:val="36"/>
        </w:numPr>
        <w:rPr>
          <w:rFonts w:ascii="Arial" w:cs="Arial" w:eastAsia="Arial" w:hAnsi="Arial"/>
          <w:sz w:val="20"/>
          <w:szCs w:val="20"/>
          <w:color w:val="auto"/>
        </w:rPr>
      </w:pPr>
      <w:r>
        <w:rPr>
          <w:rFonts w:ascii="Arial" w:cs="Arial" w:eastAsia="Arial" w:hAnsi="Arial"/>
          <w:sz w:val="17"/>
          <w:szCs w:val="17"/>
          <w:color w:val="auto"/>
        </w:rPr>
        <w:t>expectations of the amount or frequency of impairment losses, including as a result of the write-down of intangible assets, including goodwill;</w:t>
      </w:r>
    </w:p>
    <w:p>
      <w:pPr>
        <w:spacing w:after="0" w:line="28" w:lineRule="exact"/>
        <w:rPr>
          <w:rFonts w:ascii="Arial" w:cs="Arial" w:eastAsia="Arial" w:hAnsi="Arial"/>
          <w:sz w:val="20"/>
          <w:szCs w:val="20"/>
          <w:color w:val="auto"/>
        </w:rPr>
      </w:pPr>
    </w:p>
    <w:p>
      <w:pPr>
        <w:jc w:val="both"/>
        <w:ind w:left="320" w:hanging="314"/>
        <w:spacing w:after="0" w:line="241"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the uncertainties associated with the COVID-19 pandemic, including our ability, and the abilities of our joint ventures and our suppliers and distributors, to effectively deal with the restrictions, limitations and health issues presented by the COVID-19 pandemic, the ability to continue our production, distribution and sale of our products, and demand for and the use of our products by consumers;</w:t>
      </w:r>
    </w:p>
    <w:p>
      <w:pPr>
        <w:spacing w:after="0" w:line="30" w:lineRule="exact"/>
        <w:rPr>
          <w:rFonts w:ascii="Arial" w:cs="Arial" w:eastAsia="Arial" w:hAnsi="Arial"/>
          <w:sz w:val="21"/>
          <w:szCs w:val="21"/>
          <w:color w:val="auto"/>
        </w:rPr>
      </w:pPr>
    </w:p>
    <w:p>
      <w:pPr>
        <w:ind w:left="320" w:hanging="314"/>
        <w:spacing w:after="0" w:line="232"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spacing w:after="0" w:line="30" w:lineRule="exact"/>
        <w:rPr>
          <w:rFonts w:ascii="Arial" w:cs="Arial" w:eastAsia="Arial" w:hAnsi="Arial"/>
          <w:sz w:val="21"/>
          <w:szCs w:val="21"/>
          <w:color w:val="auto"/>
        </w:rPr>
      </w:pPr>
    </w:p>
    <w:p>
      <w:pPr>
        <w:jc w:val="both"/>
        <w:ind w:left="320" w:hanging="314"/>
        <w:spacing w:after="0" w:line="237"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our compliance with the terms of the settlement with the SEC (the “Settlement Order”) and the settlement agreement with the Ontario Securities Commission (“Settlement Agreement”), including complying with any recommendations made by the independent consultant appointed pursuant to the Settlement Order and Settlement Agreement; and</w:t>
      </w:r>
    </w:p>
    <w:p>
      <w:pPr>
        <w:spacing w:after="0" w:line="28" w:lineRule="exact"/>
        <w:rPr>
          <w:rFonts w:ascii="Arial" w:cs="Arial" w:eastAsia="Arial" w:hAnsi="Arial"/>
          <w:sz w:val="21"/>
          <w:szCs w:val="21"/>
          <w:color w:val="auto"/>
        </w:rPr>
      </w:pPr>
    </w:p>
    <w:p>
      <w:pPr>
        <w:ind w:left="320" w:hanging="314"/>
        <w:spacing w:after="0" w:line="232"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18"/>
          <w:szCs w:val="18"/>
          <w:color w:val="auto"/>
        </w:rPr>
        <w:t>the impact of the loss of our ability to rely on private offering exemptions under Regulation D of the Securities Act of 1933, as amended (the “Securities Act”), and the loss of our status as a well-known seasoned issuer, each as a result of the Settlement Order.</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Forward-Looking Statements contained herein are based upon certain material assumptions that were applied in drawing a conclusion or making a forecast or projection, including: (i) our ability to efficiently and effectively wind-down our operations at our Winnipeg, Manitoba facility and realize the expected cost-savings and other benefits related thereto, (ii) our ability to efficiently and effectively wind-down our operations in the U.S. and realize the expected cost-savings and other benefits related thereto, (iii) our ability to realize the expected cost-savings, efficiencies and other benefits of our Realignment and other announced cost-cutting measures and employee turnover related thereto; (iv) our ability to efficiently and effectively wind-down our cultivation and certain production activities at the Peace Naturals Campus, receive the benefits of the change in the nature of our operations at our Peace Naturals Campus and acquire raw materials on a timely and cost-effective basis from third parties, including Cronos GrowCo; (v) our ability to realize anticipated benefits, synergies or generate revenue, profits or value from our acquisitions and strategic investments; (vi) the production and manufacturing capabilities and output from our facilities and our joint ventures, strategic alliances and equity investments; (vii) government regulation of our activities and products including, but not limited to, the areas of cannabis taxation and environmental protection; (viii) the timely receipt of any required regulatory authorizations, approvals, consents, permits and/or licenses; (ix) consumer interest in our products; (x) competition; (xi) anticipated and unanticipated costs; (xii) our ability to generate cash flow from operations; (xiii) our ability to conduct operations in a safe, efficient and effective manner; (xiv) our ability to hire and retain qualified staff, and acquire equipment and services in a timely and cost-efficient manner; (xv) our ability to exercise the PharmaCann Option and realize the anticipated benefits of the transaction with PharmaCann; (xvi) our ability to complete planned dispositions, and, if completed, obtain our anticipated sales price; (xvii) our ability, and the abilities of our joint ventures and our suppliers and distributors, to effectively deal with the restrictions, limitations and health issues presented by the COVID-19 pandemic and the ability to continue our production, distribution and sale of our products and customer demand for and use of our products;</w:t>
      </w:r>
    </w:p>
    <w:p>
      <w:pPr>
        <w:spacing w:after="0" w:line="173" w:lineRule="exact"/>
        <w:rPr>
          <w:sz w:val="20"/>
          <w:szCs w:val="20"/>
          <w:color w:val="auto"/>
        </w:rPr>
      </w:pPr>
    </w:p>
    <w:p>
      <w:pPr>
        <w:jc w:val="both"/>
        <w:ind w:firstLine="6"/>
        <w:spacing w:after="0" w:line="233" w:lineRule="auto"/>
        <w:tabs>
          <w:tab w:leader="none" w:pos="5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financial market, regulatory and political conditions in which we operate; (xix) management’s perceptions of historical trends, current conditions and expected future developments; and (xx)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Quarterly Report and other reports we file with, or furnish to, the SEC and other regulatory agencies and made by our directors, officers, other employees and other persons authorized to speak on our behalf. Such factors include, without limitation, that we may not be able to wind-down our operations at our Winnipeg, Manitoba facility in a disciplined and cost-effective manner or achieve the anticipated benefits thereof or be able to access raw materials on a timely and cost-effective basis from third-parties; that we may be unable to further streamline our operations and reduce expenses; that we may not be able to wind-down our U.S. operations in a disciplined and cost-effective manner or achieve the anticipated benefits thereof or be able to effectively and efficiently re-enter the U.S. market in the future; that we may not able to wind-down cultivation and certain production activities at the Peace Naturals Campus in a disciplined manner or achieve the anticipated benefits of the change in the nature of our operations or be able to access raw materials on a timely and cost-effective basis from third-parties, including Cronos GrowCo; the risk that the COVID-19 pandemic and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cannabis products; our inability to reduce expenses at the level needed to meet our projected net change in cash and cash equivalents; our inability to manage disruptions in credit markets or changes to our credit ratings;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realizing the anticipated benefits of the transaction with PharmaCann; dilution of our fully diluted ownership of PharmaCann and the loss of our rights as a result of that dilution; a delay in our remediation of a material weakness in our internal control over financial reporting and the improvement of our control environment and our systems, processes and procedures; and the factors discussed under Part I, Item 1A “Risk Factors” of the Annual Report and under Part II, Item 1A “Risk Factors” in our Quarterly Reports. Readers are cautioned to consider these and other factors, uncertainties and potential events carefully and not to put undue reliance on Forward-Looking Statements.</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Quarterly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All currency amounts in this Quarterly Report are stated in U.S. dollars, which is our reporting currency, unless otherwise noted. All references to “dollars” or “$” are to U.S. dollars. The assets and liabilities of our foreign operations are translated into dollars at the exchange rate in effect as of June 30, 2023, June 30, 2022, and December 31, 2022. Transactions affecting the shareholders’ equity (deficit) are translated at historical foreign exchange rates. The condensed consolidated statements of net loss and comprehensive income (loss) and condensed consolidated statements of cash flows of our foreign operations are translated into dollars by applying the average foreign exchange rate in effect for the reporting period as reported on Bloomberg.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Canadian dollars (“C$”) to dollars is shown below: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0000FF"/>
              </w:rPr>
              <w:t>Table of Contents</w:t>
            </w:r>
          </w:p>
        </w:tc>
      </w:tr>
      <w:tr>
        <w:trPr>
          <w:trHeight w:val="770"/>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C$ per $)</w:t>
            </w:r>
          </w:p>
        </w:tc>
        <w:tc>
          <w:tcPr>
            <w:tcW w:w="1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auto"/>
            </w:tcBorders>
          </w:tcPr>
          <w:p>
            <w:pPr>
              <w:spacing w:after="0"/>
              <w:rPr>
                <w:sz w:val="24"/>
                <w:szCs w:val="24"/>
                <w:color w:val="auto"/>
              </w:rPr>
            </w:pPr>
          </w:p>
        </w:tc>
        <w:tc>
          <w:tcPr>
            <w:tcW w:w="1260" w:type="dxa"/>
            <w:vAlign w:val="bottom"/>
            <w:tcBorders>
              <w:top w:val="single" w:sz="8" w:color="0000FF"/>
              <w:bottom w:val="single" w:sz="8" w:color="auto"/>
            </w:tcBorders>
          </w:tcPr>
          <w:p>
            <w:pPr>
              <w:spacing w:after="0"/>
              <w:rPr>
                <w:sz w:val="24"/>
                <w:szCs w:val="24"/>
                <w:color w:val="auto"/>
              </w:rPr>
            </w:pPr>
          </w:p>
        </w:tc>
      </w:tr>
      <w:tr>
        <w:trPr>
          <w:trHeight w:val="183"/>
        </w:trPr>
        <w:tc>
          <w:tcPr>
            <w:tcW w:w="5920" w:type="dxa"/>
            <w:vAlign w:val="bottom"/>
          </w:tcPr>
          <w:p>
            <w:pPr>
              <w:spacing w:after="0"/>
              <w:rPr>
                <w:sz w:val="15"/>
                <w:szCs w:val="15"/>
                <w:color w:val="auto"/>
              </w:rPr>
            </w:pPr>
          </w:p>
        </w:tc>
        <w:tc>
          <w:tcPr>
            <w:tcW w:w="1940" w:type="dxa"/>
            <w:vAlign w:val="bottom"/>
          </w:tcPr>
          <w:p>
            <w:pPr>
              <w:jc w:val="right"/>
              <w:ind w:right="618"/>
              <w:spacing w:after="0"/>
              <w:rPr>
                <w:sz w:val="20"/>
                <w:szCs w:val="20"/>
                <w:color w:val="auto"/>
              </w:rPr>
            </w:pPr>
            <w:r>
              <w:rPr>
                <w:rFonts w:ascii="Arial" w:cs="Arial" w:eastAsia="Arial" w:hAnsi="Arial"/>
                <w:sz w:val="14"/>
                <w:szCs w:val="14"/>
                <w:b w:val="1"/>
                <w:bCs w:val="1"/>
                <w:color w:val="auto"/>
              </w:rPr>
              <w:t>June 30, 2023</w:t>
            </w:r>
          </w:p>
        </w:tc>
        <w:tc>
          <w:tcPr>
            <w:tcW w:w="1760" w:type="dxa"/>
            <w:vAlign w:val="bottom"/>
          </w:tcPr>
          <w:p>
            <w:pPr>
              <w:jc w:val="right"/>
              <w:ind w:right="541"/>
              <w:spacing w:after="0"/>
              <w:rPr>
                <w:sz w:val="20"/>
                <w:szCs w:val="20"/>
                <w:color w:val="auto"/>
              </w:rPr>
            </w:pPr>
            <w:r>
              <w:rPr>
                <w:rFonts w:ascii="Arial" w:cs="Arial" w:eastAsia="Arial" w:hAnsi="Arial"/>
                <w:sz w:val="14"/>
                <w:szCs w:val="14"/>
                <w:b w:val="1"/>
                <w:bCs w:val="1"/>
                <w:color w:val="auto"/>
              </w:rPr>
              <w:t>June 30, 2022</w:t>
            </w:r>
          </w:p>
        </w:tc>
        <w:tc>
          <w:tcPr>
            <w:tcW w:w="16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December 31, 2022</w:t>
            </w:r>
          </w:p>
        </w:tc>
      </w:tr>
      <w:tr>
        <w:trPr>
          <w:trHeight w:val="23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rate</w:t>
            </w:r>
          </w:p>
        </w:tc>
        <w:tc>
          <w:tcPr>
            <w:tcW w:w="19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1.3242</w:t>
            </w:r>
          </w:p>
        </w:tc>
        <w:tc>
          <w:tcPr>
            <w:tcW w:w="176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1.2874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1.3554</w:t>
            </w: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Year-to-date average rate</w:t>
            </w:r>
          </w:p>
        </w:tc>
        <w:tc>
          <w:tcPr>
            <w:tcW w:w="1940" w:type="dxa"/>
            <w:vAlign w:val="bottom"/>
          </w:tcPr>
          <w:p>
            <w:pPr>
              <w:jc w:val="right"/>
              <w:ind w:right="238"/>
              <w:spacing w:after="0"/>
              <w:rPr>
                <w:sz w:val="20"/>
                <w:szCs w:val="20"/>
                <w:color w:val="auto"/>
              </w:rPr>
            </w:pPr>
            <w:r>
              <w:rPr>
                <w:rFonts w:ascii="Arial" w:cs="Arial" w:eastAsia="Arial" w:hAnsi="Arial"/>
                <w:sz w:val="18"/>
                <w:szCs w:val="18"/>
                <w:color w:val="auto"/>
              </w:rPr>
              <w:t>1.3474</w:t>
            </w:r>
          </w:p>
        </w:tc>
        <w:tc>
          <w:tcPr>
            <w:tcW w:w="1760" w:type="dxa"/>
            <w:vAlign w:val="bottom"/>
          </w:tcPr>
          <w:p>
            <w:pPr>
              <w:jc w:val="right"/>
              <w:ind w:right="161"/>
              <w:spacing w:after="0"/>
              <w:rPr>
                <w:sz w:val="20"/>
                <w:szCs w:val="20"/>
                <w:color w:val="auto"/>
              </w:rPr>
            </w:pPr>
            <w:r>
              <w:rPr>
                <w:rFonts w:ascii="Arial" w:cs="Arial" w:eastAsia="Arial" w:hAnsi="Arial"/>
                <w:sz w:val="18"/>
                <w:szCs w:val="18"/>
                <w:color w:val="auto"/>
              </w:rPr>
              <w:t>1.2715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Israeli Shekels (“ILS”) to dollars is shown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ILS per $)</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16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2022</w:t>
            </w: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3.5178</w:t>
            </w: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Year-to-date average rate</w:t>
            </w:r>
          </w:p>
        </w:tc>
        <w:tc>
          <w:tcPr>
            <w:tcW w:w="1640" w:type="dxa"/>
            <w:vAlign w:val="bottom"/>
          </w:tcPr>
          <w:p>
            <w:pPr>
              <w:jc w:val="right"/>
              <w:spacing w:after="0"/>
              <w:rPr>
                <w:sz w:val="20"/>
                <w:szCs w:val="20"/>
                <w:color w:val="auto"/>
              </w:rPr>
            </w:pPr>
            <w:r>
              <w:rPr>
                <w:rFonts w:ascii="Arial" w:cs="Arial" w:eastAsia="Arial" w:hAnsi="Arial"/>
                <w:sz w:val="18"/>
                <w:szCs w:val="18"/>
                <w:color w:val="auto"/>
              </w:rPr>
              <w:t>3.5892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3.2670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2"/>
          <w:szCs w:val="22"/>
          <w:color w:val="auto"/>
          <w:vertAlign w:val="superscript"/>
        </w:rPr>
        <w:t>®</w:t>
      </w:r>
      <w:r>
        <w:rPr>
          <w:rFonts w:ascii="Arial" w:cs="Arial" w:eastAsia="Arial" w:hAnsi="Arial"/>
          <w:sz w:val="18"/>
          <w:szCs w:val="18"/>
          <w:color w:val="auto"/>
        </w:rPr>
        <w:t>, PEACE NATURALS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Lord Jones</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Cronos seeks to create value for shareholders by focusing on four core strategic priorities:</w:t>
      </w:r>
    </w:p>
    <w:p>
      <w:pPr>
        <w:spacing w:after="0" w:line="58"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growing a portfolio of iconic brands that responsibly elevate the consumer experience;</w:t>
      </w:r>
    </w:p>
    <w:p>
      <w:pPr>
        <w:spacing w:after="0" w:line="58" w:lineRule="exact"/>
        <w:rPr>
          <w:rFonts w:ascii="Arial" w:cs="Arial" w:eastAsia="Arial" w:hAnsi="Arial"/>
          <w:sz w:val="18"/>
          <w:szCs w:val="18"/>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a diversified global sales and distribution network;</w:t>
      </w:r>
    </w:p>
    <w:p>
      <w:pPr>
        <w:spacing w:after="0" w:line="58" w:lineRule="exact"/>
        <w:rPr>
          <w:rFonts w:ascii="Arial" w:cs="Arial" w:eastAsia="Arial" w:hAnsi="Arial"/>
          <w:sz w:val="18"/>
          <w:szCs w:val="18"/>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an efficient global supply chain; and</w:t>
      </w:r>
    </w:p>
    <w:p>
      <w:pPr>
        <w:spacing w:after="0" w:line="58" w:lineRule="exact"/>
        <w:rPr>
          <w:rFonts w:ascii="Arial" w:cs="Arial" w:eastAsia="Arial" w:hAnsi="Arial"/>
          <w:sz w:val="18"/>
          <w:szCs w:val="18"/>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creating and monetizing disruptive intellectual property.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the second quarter of 2023, Cronos exited its U.S. hemp-derived cannabinoid product operations. The exit of the U.S. operations represented a strategic shift that has a major effect on Cronos’ operations and financial results, and as such, qualifies for reporting as discontinued operations in our condensed consolidated statements of net loss and comprehensive income (loss). Prior period amounts have been reclassified to reflect the discontinued operations classification of the U.S. operations. For further detail on the discontinuation of the U.S. operations, see Note 2 “Discontinued Operations” to the condensed consolidated interim financial statements under Item 1 of this Quarterly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Beginning in the second quarter of 2023, following the exit of our U.S. operations, Cronos is reporting through one consolidated segment, which includes operations in both Canada and Israel. In Canada, Cronos operates two wholly owned license holders under the Cannabis Act (Canada) (the “Cannabis Act”), Peace Naturals Project Inc. (“Peace Naturals”), which has production facilities near Stayner, Ontario (the “Peace Naturals Campus”), and Thanos Holdings Ltd., known as Cronos Fermentation (“Cronos Fermentation”), which has a production facility in Winnipeg, Manitoba. In Israel, the Company operates under the IMC-GAP, IMC-GMP and IMC-GDP certifications required for the cultivation, production and marketing of dried flower, pre-rolls and oils in the Israeli medical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0" w:name="page31"/>
    <w:bookmarkEnd w:id="30"/>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and Product Portfolio</w:t>
      </w:r>
    </w:p>
    <w:p>
      <w:pPr>
        <w:spacing w:after="0" w:line="15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In the second quarter of 2023, the Company expanded its number-one-ranking gummy portfolio with two new flavors, Pink Lemonade and Strawberry Kiwi, under the SOURZ by Spinach</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July 2023, the Company expanded its vape offering under the Spinach</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by launching 1.2 gram vapes, featuring 1,000mg of THC per cartridge. The initial flavor offerings under this new size format are Peach Punch, Pink Lemonade and Strawberry Slurricane.</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Cronos continued to elevate its pre-roll offering under the Spinach</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by launching three new infused pre-rolls during the second quarter of 2023. The Spinach</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Fully Charged infused pre-roll line extension includes Peach Punch, Pink Lemonade and Strawberry Slurricane.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Israel, Cronos launched two new pre-roll offerings under the Peace Naturals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Wedding Rolls and Cocoa Bomba, in addition to a new flower offering with our successful Space Cake genetic.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and Organizational Update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Cronos simultaneously announced the discontinuation of the U.S. segment and the planned repurposing of the Lord Jones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by bringing the brand back to its adult-use roots in Canada in the fourth quarter of 2023.</w:t>
      </w:r>
    </w:p>
    <w:p>
      <w:pPr>
        <w:spacing w:after="0" w:line="10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August 2023, following a careful evaluation of the Company’s global supply chain, the Company announced the planned wind-down of Cronos Fermentation, with intentions to list the facility for sale. The Company expects to incur charges of approximately $1.2 million in connection with the planned exit. These charges include employee-related costs, such as severance, relocation and other termination benefits, as well as contract termination and other related costs, which are expected to be incurred primarily in the second half of 2023. Cronos expects to continue to operate the Cronos Fermentation facility with a phased reduction and planned exit by the end of 2023.</w:t>
      </w:r>
    </w:p>
    <w:p>
      <w:pPr>
        <w:spacing w:after="0" w:line="53"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color w:val="auto"/>
        </w:rPr>
        <w:t>Also in August 2023, the Company announced organization-wide cost reductions. Expected restructuring costs of approximately $2.0 million, with the majority expected to be incurred in the second half of 2023, include mostly one-time employee-related severance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Supply Chain</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July 2023, Cronos signed an agreement with one of the leading distributors of medical cannabis in Germany. Cronos anticipates commencing shipments of cannabis to Germany in the third quarter of 2023. Cronos intends to launch the Peace Naturals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medical-focused brand in Germany with a goal to make it a top brand similar to our success in Israel.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3"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The tables below set forth our condensed consolidated results of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 thousands of USD)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Three months ended 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Net revenue, before excise taxes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27,095</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52,352</w:t>
            </w:r>
          </w:p>
        </w:tc>
        <w:tc>
          <w:tcPr>
            <w:tcW w:w="56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54,173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20"/>
              <w:spacing w:after="0"/>
              <w:rPr>
                <w:sz w:val="20"/>
                <w:szCs w:val="20"/>
                <w:color w:val="auto"/>
              </w:rPr>
            </w:pPr>
            <w:r>
              <w:rPr>
                <w:rFonts w:ascii="Arial" w:cs="Arial" w:eastAsia="Arial" w:hAnsi="Arial"/>
                <w:sz w:val="18"/>
                <w:szCs w:val="18"/>
                <w:color w:val="auto"/>
              </w:rPr>
              <w:t>Excise taxes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(6,777)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(13,836)</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(9,866)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44,307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33,275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11,032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7,195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80" w:type="dxa"/>
            <w:vAlign w:val="bottom"/>
          </w:tcPr>
          <w:p>
            <w:pPr>
              <w:ind w:left="120"/>
              <w:spacing w:after="0"/>
              <w:rPr>
                <w:sz w:val="20"/>
                <w:szCs w:val="20"/>
                <w:color w:val="auto"/>
              </w:rPr>
            </w:pPr>
            <w:r>
              <w:rPr>
                <w:rFonts w:ascii="Arial" w:cs="Arial" w:eastAsia="Arial" w:hAnsi="Arial"/>
                <w:sz w:val="18"/>
                <w:szCs w:val="18"/>
                <w:color w:val="auto"/>
                <w:w w:val="97"/>
              </w:rPr>
              <w:t>Research and development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8,115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General and administrative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16,286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37,417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978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3,009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Share-based compensation</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6,199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20"/>
              <w:spacing w:after="0"/>
              <w:rPr>
                <w:sz w:val="20"/>
                <w:szCs w:val="20"/>
                <w:color w:val="auto"/>
              </w:rPr>
            </w:pPr>
            <w:r>
              <w:rPr>
                <w:rFonts w:ascii="Arial" w:cs="Arial" w:eastAsia="Arial" w:hAnsi="Arial"/>
                <w:sz w:val="18"/>
                <w:szCs w:val="18"/>
                <w:color w:val="auto"/>
                <w:w w:val="89"/>
              </w:rPr>
              <w:t>Depreciation and amortization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2,666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Impairment loss on long-lived assets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3,493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9"/>
              </w:rPr>
              <w:t>Total operating expenses</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23,719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29,624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47,415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68,094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(25,302)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(41,389)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(57,062)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11,224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Income tax expense (benefit)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308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(7,099)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(27,754)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(52,991)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w w:val="90"/>
              </w:rPr>
              <w:t>Net loss attributable to non-controlling interest</w:t>
            </w: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 attributable to Cronos Group</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(20,221)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(27,529)</w:t>
            </w:r>
          </w:p>
        </w:tc>
        <w:tc>
          <w:tcPr>
            <w:tcW w:w="56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(52,859)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i w:val="1"/>
                <w:iCs w:val="1"/>
                <w:color w:val="auto"/>
              </w:rPr>
              <w:t>Summary of select financial results</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4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 thousands of USD)</w:t>
            </w: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109"/>
              <w:spacing w:after="0"/>
              <w:rPr>
                <w:sz w:val="20"/>
                <w:szCs w:val="20"/>
                <w:color w:val="auto"/>
              </w:rPr>
            </w:pPr>
            <w:r>
              <w:rPr>
                <w:rFonts w:ascii="Arial" w:cs="Arial" w:eastAsia="Arial" w:hAnsi="Arial"/>
                <w:sz w:val="14"/>
                <w:szCs w:val="14"/>
                <w:b w:val="1"/>
                <w:bCs w:val="1"/>
                <w:color w:val="auto"/>
                <w:w w:val="90"/>
              </w:rPr>
              <w:t>Six months ended June 30,</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21,602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38,516</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44,307</w:t>
            </w:r>
          </w:p>
        </w:tc>
        <w:tc>
          <w:tcPr>
            <w:tcW w:w="6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(5,791)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33,275</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2"/>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(5,006)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300"/>
        </w:trPr>
        <w:tc>
          <w:tcPr>
            <w:tcW w:w="2280" w:type="dxa"/>
            <w:vAlign w:val="bottom"/>
          </w:tcPr>
          <w:p>
            <w:pPr>
              <w:ind w:left="20"/>
              <w:spacing w:after="0"/>
              <w:rPr>
                <w:sz w:val="20"/>
                <w:szCs w:val="20"/>
                <w:color w:val="auto"/>
              </w:rPr>
            </w:pPr>
            <w:r>
              <w:rPr>
                <w:rFonts w:ascii="Arial" w:cs="Arial" w:eastAsia="Arial" w:hAnsi="Arial"/>
                <w:sz w:val="18"/>
                <w:szCs w:val="18"/>
                <w:color w:val="auto"/>
              </w:rPr>
              <w:t>Gross margin</w:t>
            </w:r>
            <w:r>
              <w:rPr>
                <w:rFonts w:ascii="Arial" w:cs="Arial" w:eastAsia="Arial" w:hAnsi="Arial"/>
                <w:sz w:val="22"/>
                <w:szCs w:val="22"/>
                <w:color w:val="auto"/>
                <w:vertAlign w:val="superscript"/>
              </w:rPr>
              <w:t>(i)</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4"/>
          </w:tcPr>
          <w:p>
            <w:pPr>
              <w:ind w:left="3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(4)pp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(9)pp</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9"/>
          <w:szCs w:val="9"/>
          <w:color w:val="auto"/>
        </w:rPr>
      </w:pPr>
      <w:r>
        <w:rPr>
          <w:rFonts w:ascii="Arial" w:cs="Arial" w:eastAsia="Arial" w:hAnsi="Arial"/>
          <w:sz w:val="14"/>
          <w:szCs w:val="14"/>
          <w:color w:val="auto"/>
        </w:rPr>
        <w:t>Gross margin is defined as gross profit divided by net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the three months ended June 30, 2023, we reported consolidated net revenue of $19.0 million, representing a decrease of $2.6 million from the three months ended June 30, 2022. For the six months ended June 30, 2023, we reported consolidated net revenue of $38.5 million, representing a decrease of $5.8 million from the six months ended June 30, 2022. For both the three and six month comparative periods, the decrease was primarily due to lower cannabis flower sales in Israel due to competitive activity, the slowdown in patient permit authorizations and geopolitical unrest, and an adverse price/mix in Canada in the cannabis flower category driving increased excise tax payments as a percentage of revenue. Furthermore, the weakened Canadian dollar and Israeli Shekel against the U.S. dollar during the current period adversely impacted results.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three months ended June 30, 2023, we reported consolidated cost of sales of $15.9 million, representing a decrease of $1.4 million from the three months ended June 30, 2022. For the six months ended June 30, 2023, we reported consolidated cost of sales of $32.5 million, representing a decrease of $0.8 million from the six months ended June 30, 2022. For both the three and six month comparative periods, the decrease was primarily due to lower cannabis flower sales in the Israeli medical market, lower cannabis biomass costs and the impact of the weakened Canadian dollar and Israeli Shekel against the U.S. dollar during the current periods.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For the three months ended June 30, 2023, we reported gross profit of $3.1 million, representing a decrease of $1.2 million from the three months ended June 30, 2022. For the six months ended June 30, 2023, we reported gross profit of $6.0 million, representing a decrease of $5.0 million from the six months ended June 30, 2022. For both the three and six month comparative periods, the decrease was primarily due to lower cannabis flower sales in the Israeli medical market and adverse price/mix on cannabis flower sales in Canada resulting in higher excise taxes as a percentage of revenue.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89"/>
              </w:rPr>
              <w:t>Three months ended June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4,185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11,038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8,115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37,417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1"/>
        </w:trPr>
        <w:tc>
          <w:tcPr>
            <w:tcW w:w="25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3,009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87"/>
        </w:trPr>
        <w:tc>
          <w:tcPr>
            <w:tcW w:w="258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Impairment loss on long-lived</w:t>
            </w: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3,493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31"/>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gridSpan w:val="3"/>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8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23,719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29,624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(5,905)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47,415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68,094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sales and marketing expenses were $5.3 million, representing an increase of $1.1 million from the three months ended June 30, 2022. For the six months ended June 30, 2023, sales and marketing expenses were $11.0 million, representing an increase of $3.8 million from the six months ended June 30, 2022. For both the three and six month comparative periods, the increase was primarily due to higher advertising and marketing spend and higher payroll-related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research and development expenses were $1.1 million, representing a decrease of $3.1 million from the three months ended June 30, 2022. For the six months ended June 30, 2023, research and development expenses were $3.1 million, representing a decrease of $5.0 million from the six months ended June 30, 2022. For both the three and six month comparative periods, the decrease was primarily due to lower costs associated with the achievement of Ginkgo milestones.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June 30, 2023, general and administrative expenses were $13.5 million, representing a decrease of $2.8 million from the three months ended June 30, 2022. For the six months ended June 30, 2023, general and administrative expenses were $25.3 million, representing a decrease of $12.1 million from the six months ended June 30, 2022. For both the three and six month comparative periods, the decrease was primarily due to lower professional fees, largely related to financial statement review costs, and lower bonus and insurance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both the three and six months ended June 30, 2023, there were no restructuring costs incurred, compared to $1.0 million and $3.0 million for the three and six months ended June 30, 2022, respectively. For further information, see Note 7 “</w:t>
      </w:r>
      <w:r>
        <w:rPr>
          <w:rFonts w:ascii="Arial" w:cs="Arial" w:eastAsia="Arial" w:hAnsi="Arial"/>
          <w:sz w:val="18"/>
          <w:szCs w:val="18"/>
          <w:i w:val="1"/>
          <w:iCs w:val="1"/>
          <w:color w:val="auto"/>
        </w:rPr>
        <w:t>Restructuring</w:t>
      </w:r>
      <w:r>
        <w:rPr>
          <w:rFonts w:ascii="Arial" w:cs="Arial" w:eastAsia="Arial" w:hAnsi="Arial"/>
          <w:sz w:val="18"/>
          <w:szCs w:val="18"/>
          <w:color w:val="auto"/>
        </w:rPr>
        <w:t>” to the condensed consolidated interim financial statements under Item 1 of this Quarterly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share-based compensation expense was $2.3 million, representing a decrease of $0.3 million from the three months ended June 30, 2022. For the six months ended June 30, 2023, share-based compensation expense was $4.9 million, representing a decrease of $1.3 million from the six months ended June 30, 2022. For the three months ended June 30, 2023, the decrease was primarily due to lower option expense, partially offset by higher expense on restricted share units. For the six</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months ended June 30, 2023, the decrease was primarily due to the acceleration of expense in the six months ended June 30, 2022, on equity awards granted to certain executive employees in connection with their separation from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depreciation and amortization expenses were $1.5 million, representing an increase of $0.1 million from the three months ended June 30, 2022. For the six months ended June 30, 2023, depreciation and amortization expenses were $3.1 million, representing an increase of $0.4 million from the six months ended June 30, 2022. For the three and six months ended June 30, 2023, the increase was primarily due to higher amortization on Ginkgo-related intangible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long-lived assets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and for three months ended June 30, 2022, we recorded no impairment loss on long-lived assets. For the six months ended June 30, 2023, we recorded no impairment loss on long-lived assets, compared to $3.5 million in the six months ended June 30, 2022. For further information, see Note 12 “Impairment Loss on Long-lived Assets” to the condensed consolidated interim financial statements under Item 1 of this Quarterly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and income tax benefit (expense)</w:t>
      </w:r>
    </w:p>
    <w:p>
      <w:pPr>
        <w:spacing w:after="0" w:line="141"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08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5"/>
                <w:szCs w:val="15"/>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ind w:right="749"/>
              <w:spacing w:after="0"/>
              <w:rPr>
                <w:sz w:val="20"/>
                <w:szCs w:val="20"/>
                <w:color w:val="auto"/>
              </w:rPr>
            </w:pPr>
            <w:r>
              <w:rPr>
                <w:rFonts w:ascii="Arial" w:cs="Arial" w:eastAsia="Arial" w:hAnsi="Arial"/>
                <w:sz w:val="14"/>
                <w:szCs w:val="14"/>
                <w:b w:val="1"/>
                <w:bCs w:val="1"/>
                <w:color w:val="auto"/>
              </w:rPr>
              <w:t>Change</w:t>
            </w:r>
          </w:p>
        </w:tc>
      </w:tr>
      <w:tr>
        <w:trPr>
          <w:trHeight w:val="24"/>
        </w:trPr>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7"/>
        </w:trPr>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400" w:type="dxa"/>
            <w:vAlign w:val="bottom"/>
          </w:tcPr>
          <w:p>
            <w:pPr>
              <w:jc w:val="right"/>
              <w:ind w:right="80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38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20" w:type="dxa"/>
            <w:vAlign w:val="bottom"/>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389"/>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net</w:t>
      </w:r>
    </w:p>
    <w:p>
      <w:pPr>
        <w:spacing w:after="0" w:line="32"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Gain (loss) on revaluation of derivative liabilities</w:t>
      </w:r>
    </w:p>
    <w:p>
      <w:pPr>
        <w:ind w:left="120" w:right="40"/>
        <w:spacing w:after="0" w:line="285" w:lineRule="auto"/>
        <w:rPr>
          <w:sz w:val="20"/>
          <w:szCs w:val="20"/>
          <w:color w:val="auto"/>
        </w:rPr>
      </w:pPr>
      <w:r>
        <w:rPr>
          <w:rFonts w:ascii="Arial" w:cs="Arial" w:eastAsia="Arial" w:hAnsi="Arial"/>
          <w:sz w:val="15"/>
          <w:szCs w:val="15"/>
          <w:color w:val="auto"/>
        </w:rPr>
        <w:t>Share of income (loss) from equity method investments</w:t>
      </w:r>
    </w:p>
    <w:p>
      <w:pPr>
        <w:spacing w:after="0" w:line="1" w:lineRule="exact"/>
        <w:rPr>
          <w:sz w:val="20"/>
          <w:szCs w:val="20"/>
          <w:color w:val="auto"/>
        </w:rPr>
      </w:pPr>
    </w:p>
    <w:p>
      <w:pPr>
        <w:ind w:left="120"/>
        <w:spacing w:after="0" w:line="245" w:lineRule="auto"/>
        <w:rPr>
          <w:sz w:val="20"/>
          <w:szCs w:val="20"/>
          <w:color w:val="auto"/>
        </w:rPr>
      </w:pPr>
      <w:r>
        <w:rPr>
          <w:rFonts w:ascii="Arial" w:cs="Arial" w:eastAsia="Arial" w:hAnsi="Arial"/>
          <w:sz w:val="17"/>
          <w:szCs w:val="17"/>
          <w:color w:val="auto"/>
        </w:rPr>
        <w:t>Gain (loss) on revaluation of financial instruments</w:t>
      </w:r>
    </w:p>
    <w:p>
      <w:pPr>
        <w:spacing w:after="0" w:line="12" w:lineRule="exact"/>
        <w:rPr>
          <w:sz w:val="20"/>
          <w:szCs w:val="20"/>
          <w:color w:val="auto"/>
        </w:rPr>
      </w:pPr>
    </w:p>
    <w:p>
      <w:pPr>
        <w:ind w:left="120" w:right="260"/>
        <w:spacing w:after="0" w:line="229" w:lineRule="auto"/>
        <w:rPr>
          <w:sz w:val="20"/>
          <w:szCs w:val="20"/>
          <w:color w:val="auto"/>
        </w:rPr>
      </w:pPr>
      <w:r>
        <w:rPr>
          <w:rFonts w:ascii="Arial" w:cs="Arial" w:eastAsia="Arial" w:hAnsi="Arial"/>
          <w:sz w:val="18"/>
          <w:szCs w:val="18"/>
          <w:color w:val="auto"/>
        </w:rPr>
        <w:t>Impairment loss on other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03"/>
        </w:trPr>
        <w:tc>
          <w:tcPr>
            <w:tcW w:w="9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   12,471</w:t>
            </w:r>
          </w:p>
        </w:tc>
        <w:tc>
          <w:tcPr>
            <w:tcW w:w="100" w:type="dxa"/>
            <w:vAlign w:val="bottom"/>
          </w:tcPr>
          <w:p>
            <w:pPr>
              <w:spacing w:after="0"/>
              <w:rPr>
                <w:sz w:val="17"/>
                <w:szCs w:val="17"/>
                <w:color w:val="auto"/>
              </w:rPr>
            </w:pPr>
          </w:p>
        </w:tc>
        <w:tc>
          <w:tcPr>
            <w:tcW w:w="240" w:type="dxa"/>
            <w:vAlign w:val="bottom"/>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3,775</w:t>
            </w:r>
          </w:p>
        </w:tc>
        <w:tc>
          <w:tcPr>
            <w:tcW w:w="80" w:type="dxa"/>
            <w:vAlign w:val="bottom"/>
          </w:tcPr>
          <w:p>
            <w:pPr>
              <w:spacing w:after="0"/>
              <w:rPr>
                <w:sz w:val="17"/>
                <w:szCs w:val="17"/>
                <w:color w:val="auto"/>
              </w:rPr>
            </w:pPr>
          </w:p>
        </w:tc>
        <w:tc>
          <w:tcPr>
            <w:tcW w:w="260" w:type="dxa"/>
            <w:vAlign w:val="bottom"/>
          </w:tcPr>
          <w:p>
            <w:pPr>
              <w:jc w:val="right"/>
              <w:ind w:right="52"/>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8,696</w:t>
            </w:r>
          </w:p>
        </w:tc>
        <w:tc>
          <w:tcPr>
            <w:tcW w:w="100" w:type="dxa"/>
            <w:vAlign w:val="bottom"/>
          </w:tcPr>
          <w:p>
            <w:pPr>
              <w:spacing w:after="0"/>
              <w:rPr>
                <w:sz w:val="17"/>
                <w:szCs w:val="17"/>
                <w:color w:val="auto"/>
              </w:rPr>
            </w:pPr>
          </w:p>
        </w:tc>
        <w:tc>
          <w:tcPr>
            <w:tcW w:w="13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230 %  $</w:t>
            </w:r>
          </w:p>
        </w:tc>
        <w:tc>
          <w:tcPr>
            <w:tcW w:w="7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23,646</w:t>
            </w:r>
          </w:p>
        </w:tc>
        <w:tc>
          <w:tcPr>
            <w:tcW w:w="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5,820</w:t>
            </w:r>
          </w:p>
        </w:tc>
        <w:tc>
          <w:tcPr>
            <w:tcW w:w="3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17,826</w:t>
            </w:r>
          </w:p>
        </w:tc>
        <w:tc>
          <w:tcPr>
            <w:tcW w:w="11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306 %</w:t>
            </w:r>
          </w:p>
        </w:tc>
      </w:tr>
      <w:tr>
        <w:trPr>
          <w:trHeight w:val="314"/>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(13,851)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411"/>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411"/>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4"/>
                <w:szCs w:val="2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398"/>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(11,238)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-713740</wp:posOffset>
            </wp:positionV>
            <wp:extent cx="7134860" cy="260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-192405</wp:posOffset>
            </wp:positionV>
            <wp:extent cx="7134860" cy="252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160" w:space="420"/>
            <w:col w:w="86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580" w:type="dxa"/>
            <w:vAlign w:val="bottom"/>
          </w:tcPr>
          <w:p>
            <w:pPr>
              <w:ind w:left="120"/>
              <w:spacing w:after="0"/>
              <w:rPr>
                <w:sz w:val="20"/>
                <w:szCs w:val="20"/>
                <w:color w:val="auto"/>
              </w:rPr>
            </w:pPr>
            <w:r>
              <w:rPr>
                <w:rFonts w:ascii="Arial" w:cs="Arial" w:eastAsia="Arial" w:hAnsi="Arial"/>
                <w:sz w:val="18"/>
                <w:szCs w:val="18"/>
                <w:color w:val="auto"/>
                <w:w w:val="92"/>
              </w:rPr>
              <w:t>Foreign currency transaction loss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(3,174)</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(2,852)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(4,817)</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580" w:type="dxa"/>
            <w:vAlign w:val="bottom"/>
          </w:tcPr>
          <w:p>
            <w:pPr>
              <w:ind w:left="240"/>
              <w:spacing w:after="0"/>
              <w:rPr>
                <w:sz w:val="20"/>
                <w:szCs w:val="20"/>
                <w:color w:val="auto"/>
              </w:rPr>
            </w:pPr>
            <w:r>
              <w:rPr>
                <w:rFonts w:ascii="Arial" w:cs="Arial" w:eastAsia="Arial" w:hAnsi="Arial"/>
                <w:sz w:val="18"/>
                <w:szCs w:val="18"/>
                <w:color w:val="auto"/>
              </w:rPr>
              <w:t>Total other income</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14,777</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7,467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16,075</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11,224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9"/>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(expense)</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580" w:type="dxa"/>
            <w:vAlign w:val="bottom"/>
          </w:tcPr>
          <w:p>
            <w:pPr>
              <w:ind w:left="120"/>
              <w:spacing w:after="0"/>
              <w:rPr>
                <w:sz w:val="20"/>
                <w:szCs w:val="20"/>
                <w:color w:val="auto"/>
              </w:rPr>
            </w:pPr>
            <w:r>
              <w:rPr>
                <w:rFonts w:ascii="Arial" w:cs="Arial" w:eastAsia="Arial" w:hAnsi="Arial"/>
                <w:sz w:val="18"/>
                <w:szCs w:val="18"/>
                <w:color w:val="auto"/>
                <w:w w:val="95"/>
              </w:rPr>
              <w:t>Loss from continuing operations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(5,663)</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(17,527)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(23,698)</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(45,892)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Loss from discontinued</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(2,834)</w:t>
            </w:r>
          </w:p>
        </w:tc>
        <w:tc>
          <w:tcPr>
            <w:tcW w:w="110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(4,056)</w:t>
            </w:r>
          </w:p>
        </w:tc>
        <w:tc>
          <w:tcPr>
            <w:tcW w:w="108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(7,099)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31"/>
        </w:trPr>
        <w:tc>
          <w:tcPr>
            <w:tcW w:w="25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980" w:type="dxa"/>
            <w:vAlign w:val="bottom"/>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   (8,497)</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  (20,338)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11,841</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58 %  $</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(27,754)</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  (52,991)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40" w:hanging="634"/>
        <w:spacing w:after="0"/>
        <w:tabs>
          <w:tab w:leader="none" w:pos="64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“N/M” is defined as not meaningful.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interest income, net was $12.5 million, representing an increase of $8.7 million from the three months ended June 30, 2022. For the six months ended June 30, 2023, interest income, net was $23.6 million, representing an increase of $17.8 million from the six months ended June 30, 2022. For both the three and six month comparative periods, the increase in net interest income was primarily due to higher short-term investment balances and higher interest rates during the comparative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revaluation of derivative liabilities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three months ended June 30, 2023, the gain on revaluation of derivative liabilities was $43 thousand, representing a decrease of $3.4 million from the three months ended June 30, 2022. For the six months ended June 30, 2023, the loss on revaluation of derivative liabilities was $22 thousand, representing a decrease of $13.9 million from the six months ended June 30, 2022. We expect continued changes in derivative valuations as our share price fluctuates period to period and the remaining expected terms of our derivative instruments change over time. For further information, see Note 6 “Derivative Liabilities” to the condensed consolidated interim financial statements under Item 1 of this Quarterly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4" w:name="page35"/>
    <w:bookmarkEnd w:id="34"/>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of income (loss) from equity method investments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June 30, 2023, our share of income from equity method investments was $0.3 million, representing a decrease of $4.9 million from the three months ended June 30, 2022. For the six months ended June 30, 2023, our share of loss from equity method investments was $0.2 million, representing a decrease of $5.4 million from the six months ended June 30, 2022. For both the three and six month comparative periods, the change was primarily due to lower income pick-ups from our equity method investment in Cronos GrowCo.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revaluation of financial instruments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three months ended June 30, 2023, the gain on revaluation of financial instruments was $5.2 million, representing an increased gain of $7.3 million from the three months ended June 30, 2022. For the six months ended June 30, 2023, the loss on revaluation of financial instruments was $2.6 million, representing an increased loss of $4.7 million from the six months ended June 30, 2022. For both the three and six month comparative periods, the change was primarily related to the change in fair value of our investment in Vitura Health Limited (“Vitura”). For further information, see Note 4 “</w:t>
      </w:r>
      <w:r>
        <w:rPr>
          <w:rFonts w:ascii="Arial" w:cs="Arial" w:eastAsia="Arial" w:hAnsi="Arial"/>
          <w:sz w:val="17"/>
          <w:szCs w:val="17"/>
          <w:i w:val="1"/>
          <w:iCs w:val="1"/>
          <w:color w:val="auto"/>
        </w:rPr>
        <w:t>Investments</w:t>
      </w:r>
      <w:r>
        <w:rPr>
          <w:rFonts w:ascii="Arial" w:cs="Arial" w:eastAsia="Arial" w:hAnsi="Arial"/>
          <w:sz w:val="17"/>
          <w:szCs w:val="17"/>
          <w:color w:val="auto"/>
        </w:rPr>
        <w:t>” to the condensed consolidated interim financial statements under Item 1 of this Quarterly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other investments</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There were no impairment losses on other investments during the three and six months ended June 30, 2023. For the six months ended June 30, 2022, impairment loss on other investments was $11.2 million, due to impairment charges recorded on our PharmaCann Option for the difference between its estimated fair value and its carrying amount. There were no impairment losses on other investments during the three months ended June 30, 2022. For more information, see Note 4 “</w:t>
      </w:r>
      <w:r>
        <w:rPr>
          <w:rFonts w:ascii="Arial" w:cs="Arial" w:eastAsia="Arial" w:hAnsi="Arial"/>
          <w:sz w:val="15"/>
          <w:szCs w:val="15"/>
          <w:i w:val="1"/>
          <w:iCs w:val="1"/>
          <w:color w:val="auto"/>
        </w:rPr>
        <w:t>Investments</w:t>
      </w:r>
      <w:r>
        <w:rPr>
          <w:rFonts w:ascii="Arial" w:cs="Arial" w:eastAsia="Arial" w:hAnsi="Arial"/>
          <w:sz w:val="15"/>
          <w:szCs w:val="15"/>
          <w:color w:val="auto"/>
        </w:rPr>
        <w:t>” in our condensed consolidated interim financial statements under Item 1 of this Quarterly Report.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loss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June 30, 2023, foreign currency translation loss was $3.2 million, representing an increased loss of $0.3 million from the three months ended June 30, 2022. For the six months ended June 30, 2023, foreign currency translation loss was $4.8 million, representing an increased loss of $0.1 million from the six months ended June 30, 2022. For both the three and six month comparative periods, the change was primarily due to certain foreign currency-denominated intercompany loans anticipated to be settled in the foreseeable future.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Other, net primarily includes gains and losses on the disposal of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4"/>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4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25"/>
        </w:trPr>
        <w:tc>
          <w:tcPr>
            <w:tcW w:w="422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w:t>
            </w:r>
          </w:p>
        </w:tc>
      </w:tr>
      <w:tr>
        <w:trPr>
          <w:trHeight w:val="226"/>
        </w:trPr>
        <w:tc>
          <w:tcPr>
            <w:tcW w:w="4220" w:type="dxa"/>
            <w:vAlign w:val="bottom"/>
            <w:tcBorders>
              <w:bottom w:val="single" w:sz="8" w:color="CCEEFF"/>
            </w:tcBorders>
            <w:shd w:val="clear" w:color="auto" w:fill="CCEEFF"/>
          </w:tcPr>
          <w:p>
            <w:pPr>
              <w:ind w:left="140"/>
              <w:spacing w:after="0" w:line="226" w:lineRule="exact"/>
              <w:rPr>
                <w:sz w:val="20"/>
                <w:szCs w:val="20"/>
                <w:color w:val="auto"/>
              </w:rPr>
            </w:pPr>
            <w:r>
              <w:rPr>
                <w:rFonts w:ascii="Arial" w:cs="Arial" w:eastAsia="Arial" w:hAnsi="Arial"/>
                <w:sz w:val="18"/>
                <w:szCs w:val="18"/>
                <w:color w:val="auto"/>
              </w:rPr>
              <w:t>Inventory write-down</w:t>
            </w:r>
            <w:r>
              <w:rPr>
                <w:rFonts w:ascii="Arial" w:cs="Arial" w:eastAsia="Arial" w:hAnsi="Arial"/>
                <w:sz w:val="22"/>
                <w:szCs w:val="22"/>
                <w:color w:val="auto"/>
                <w:vertAlign w:val="superscript"/>
              </w:rPr>
              <w:t>(i)</w:t>
            </w:r>
          </w:p>
        </w:tc>
        <w:tc>
          <w:tcPr>
            <w:tcW w:w="1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42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3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5"/>
        </w:trPr>
        <w:tc>
          <w:tcPr>
            <w:tcW w:w="42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26"/>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31"/>
        </w:trPr>
        <w:tc>
          <w:tcPr>
            <w:tcW w:w="42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2"/>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4220" w:type="dxa"/>
            <w:vAlign w:val="bottom"/>
          </w:tcPr>
          <w:p>
            <w:pPr>
              <w:ind w:left="140"/>
              <w:spacing w:after="0" w:line="225" w:lineRule="exact"/>
              <w:rPr>
                <w:sz w:val="20"/>
                <w:szCs w:val="20"/>
                <w:color w:val="auto"/>
              </w:rPr>
            </w:pPr>
            <w:r>
              <w:rPr>
                <w:rFonts w:ascii="Arial" w:cs="Arial" w:eastAsia="Arial" w:hAnsi="Arial"/>
                <w:sz w:val="18"/>
                <w:szCs w:val="18"/>
                <w:color w:val="auto"/>
              </w:rPr>
              <w:t>Impairment loss on long-lived assets</w:t>
            </w:r>
            <w:r>
              <w:rPr>
                <w:rFonts w:ascii="Arial" w:cs="Arial" w:eastAsia="Arial" w:hAnsi="Arial"/>
                <w:sz w:val="22"/>
                <w:szCs w:val="22"/>
                <w:color w:val="auto"/>
                <w:vertAlign w:val="superscript"/>
              </w:rPr>
              <w:t>(ii)</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r>
      <w:tr>
        <w:trPr>
          <w:trHeight w:val="225"/>
        </w:trPr>
        <w:tc>
          <w:tcPr>
            <w:tcW w:w="42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4220" w:type="dxa"/>
            <w:vAlign w:val="bottom"/>
            <w:tcBorders>
              <w:bottom w:val="single" w:sz="8" w:color="CCEEFF"/>
            </w:tcBorders>
            <w:shd w:val="clear" w:color="auto" w:fill="CCEEFF"/>
          </w:tcPr>
          <w:p>
            <w:pPr>
              <w:ind w:left="140"/>
              <w:spacing w:after="0" w:line="226"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(iii)</w:t>
            </w:r>
          </w:p>
        </w:tc>
        <w:tc>
          <w:tcPr>
            <w:tcW w:w="1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loss</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r>
      <w:tr>
        <w:trPr>
          <w:trHeight w:val="225"/>
        </w:trPr>
        <w:tc>
          <w:tcPr>
            <w:tcW w:w="42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from discontinued operations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r>
      <w:tr>
        <w:trPr>
          <w:trHeight w:val="821"/>
        </w:trPr>
        <w:tc>
          <w:tcPr>
            <w:tcW w:w="4220" w:type="dxa"/>
            <w:vAlign w:val="bottom"/>
          </w:tcPr>
          <w:p>
            <w:pPr>
              <w:spacing w:after="0"/>
              <w:rPr>
                <w:sz w:val="24"/>
                <w:szCs w:val="24"/>
                <w:color w:val="auto"/>
              </w:rPr>
            </w:pPr>
          </w:p>
        </w:tc>
        <w:tc>
          <w:tcPr>
            <w:tcW w:w="1940" w:type="dxa"/>
            <w:vAlign w:val="bottom"/>
          </w:tcPr>
          <w:p>
            <w:pPr>
              <w:jc w:val="right"/>
              <w:ind w:right="35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
        </w:trPr>
        <w:tc>
          <w:tcPr>
            <w:tcW w:w="42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480" w:hanging="474"/>
        <w:spacing w:after="0"/>
        <w:tabs>
          <w:tab w:leader="none" w:pos="480" w:val="left"/>
        </w:tabs>
        <w:numPr>
          <w:ilvl w:val="0"/>
          <w:numId w:val="41"/>
        </w:numPr>
        <w:rPr>
          <w:rFonts w:ascii="Arial" w:cs="Arial" w:eastAsia="Arial" w:hAnsi="Arial"/>
          <w:sz w:val="17"/>
          <w:szCs w:val="17"/>
          <w:color w:val="auto"/>
          <w:vertAlign w:val="superscript"/>
        </w:rPr>
      </w:pPr>
      <w:r>
        <w:rPr>
          <w:rFonts w:ascii="Arial" w:cs="Arial" w:eastAsia="Arial" w:hAnsi="Arial"/>
          <w:sz w:val="13"/>
          <w:szCs w:val="13"/>
          <w:color w:val="auto"/>
        </w:rPr>
        <w:t>As of June 30, 2023, all inventory associated with our U.S. operations was $nil as a result of the $0.8 million inventory write-down of obsolete product in the second quarter of 2023.</w:t>
      </w:r>
    </w:p>
    <w:p>
      <w:pPr>
        <w:spacing w:after="0" w:line="44" w:lineRule="exact"/>
        <w:rPr>
          <w:rFonts w:ascii="Arial" w:cs="Arial" w:eastAsia="Arial" w:hAnsi="Arial"/>
          <w:sz w:val="17"/>
          <w:szCs w:val="17"/>
          <w:color w:val="auto"/>
          <w:vertAlign w:val="superscript"/>
        </w:rPr>
      </w:pPr>
    </w:p>
    <w:p>
      <w:pPr>
        <w:ind w:left="480" w:hanging="474"/>
        <w:spacing w:after="0" w:line="266" w:lineRule="auto"/>
        <w:tabs>
          <w:tab w:leader="none" w:pos="480" w:val="left"/>
        </w:tabs>
        <w:numPr>
          <w:ilvl w:val="0"/>
          <w:numId w:val="41"/>
        </w:numPr>
        <w:rPr>
          <w:rFonts w:ascii="Arial" w:cs="Arial" w:eastAsia="Arial" w:hAnsi="Arial"/>
          <w:sz w:val="9"/>
          <w:szCs w:val="9"/>
          <w:color w:val="auto"/>
        </w:rPr>
      </w:pPr>
      <w:r>
        <w:rPr>
          <w:rFonts w:ascii="Arial" w:cs="Arial" w:eastAsia="Arial" w:hAnsi="Arial"/>
          <w:sz w:val="14"/>
          <w:szCs w:val="14"/>
          <w:color w:val="auto"/>
        </w:rPr>
        <w:t>During the three and six months ended June 30, 2023, as a result of the exit of the U.S. operations, the Company recognized an impairment charge of $205 related to the right-of-use lease assets associated with the Company’s former U.S. manufacturing facility in Los Angeles, California.</w:t>
      </w:r>
    </w:p>
    <w:p>
      <w:pPr>
        <w:spacing w:after="0" w:line="15" w:lineRule="exact"/>
        <w:rPr>
          <w:rFonts w:ascii="Arial" w:cs="Arial" w:eastAsia="Arial" w:hAnsi="Arial"/>
          <w:sz w:val="9"/>
          <w:szCs w:val="9"/>
          <w:color w:val="auto"/>
        </w:rPr>
      </w:pPr>
    </w:p>
    <w:p>
      <w:pPr>
        <w:ind w:left="480" w:hanging="474"/>
        <w:spacing w:after="0"/>
        <w:tabs>
          <w:tab w:leader="none" w:pos="480" w:val="left"/>
        </w:tabs>
        <w:numPr>
          <w:ilvl w:val="0"/>
          <w:numId w:val="41"/>
        </w:numPr>
        <w:rPr>
          <w:rFonts w:ascii="Arial" w:cs="Arial" w:eastAsia="Arial" w:hAnsi="Arial"/>
          <w:sz w:val="11"/>
          <w:szCs w:val="11"/>
          <w:color w:val="auto"/>
        </w:rPr>
      </w:pPr>
      <w:r>
        <w:rPr>
          <w:rFonts w:ascii="Arial" w:cs="Arial" w:eastAsia="Arial" w:hAnsi="Arial"/>
          <w:sz w:val="14"/>
          <w:szCs w:val="14"/>
          <w:color w:val="auto"/>
        </w:rPr>
        <w:t>For the three and six months ended June 30, 2023 and June 30, 2022, Other, net related to loss on disposal of assets that were part of the U.S. operations.</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three months ended June 30, 2023, loss from discontinued operations was $2.8 million, consistent with the three months ended June 30, 2022. For the six months ended June 30, 2023, loss from discontinued operations was $4.1 million, representing a decreased loss of $3.0 million from the six months ended June 30, 2022. In each of the comparative periods, lower gross profit due to increased inventory write-downs was offset by lower operating expenses driven by lower sales and marketing expenses. For more information, see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in our condensed consolidated interim financial statements under Item 1 of this Quarterly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Cronos Group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Quarterly Report are reconciled to their closest reported U.S. GAAP measure. Reconciliations of historical adjusted financial measures to corresponding U.S. GAAP measures are provided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loss from discontinued operations; restructuring costs; share-based compensation; and financial statement review costs and reserves related to the restatements of our 2019 and 2021 interim financial statements (the “Restatements”), including the costs related to the settlement of the SEC’s and the Ontario Securities Commission’s (“OSC”) investigations of the Restatements and legal costs defending shareholder class action complaints brought against us as a result of the 2019 restatement (see Part II, Item 1 “Legal Proceedings” of this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to net income (loss) as follows: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w w:val="97"/>
              </w:rPr>
              <w:t>Table of Contents</w:t>
            </w:r>
          </w:p>
        </w:tc>
        <w:tc>
          <w:tcPr>
            <w:tcW w:w="0" w:type="dxa"/>
            <w:vAlign w:val="bottom"/>
          </w:tcPr>
          <w:p>
            <w:pPr>
              <w:spacing w:after="0"/>
              <w:rPr>
                <w:sz w:val="1"/>
                <w:szCs w:val="1"/>
                <w:color w:val="auto"/>
              </w:rPr>
            </w:pPr>
          </w:p>
        </w:tc>
      </w:tr>
      <w:tr>
        <w:trPr>
          <w:trHeight w:val="645"/>
        </w:trPr>
        <w:tc>
          <w:tcPr>
            <w:tcW w:w="4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jc w:val="center"/>
              <w:ind w:left="1194"/>
              <w:spacing w:after="0"/>
              <w:rPr>
                <w:sz w:val="20"/>
                <w:szCs w:val="20"/>
                <w:color w:val="auto"/>
              </w:rPr>
            </w:pPr>
            <w:r>
              <w:rPr>
                <w:rFonts w:ascii="Arial" w:cs="Arial" w:eastAsia="Arial" w:hAnsi="Arial"/>
                <w:sz w:val="14"/>
                <w:szCs w:val="14"/>
                <w:b w:val="1"/>
                <w:bCs w:val="1"/>
                <w:color w:val="auto"/>
                <w:w w:val="89"/>
              </w:rPr>
              <w:t>Three months ended June 30, 2023</w:t>
            </w:r>
          </w:p>
        </w:tc>
        <w:tc>
          <w:tcPr>
            <w:tcW w:w="1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Discontinued Operations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3"/>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benefit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8"/>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EBITDA</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rPr>
                <w:sz w:val="20"/>
                <w:szCs w:val="20"/>
                <w:color w:val="auto"/>
              </w:rPr>
            </w:pPr>
            <w:r>
              <w:rPr>
                <w:rFonts w:ascii="Arial" w:cs="Arial" w:eastAsia="Arial" w:hAnsi="Arial"/>
                <w:sz w:val="18"/>
                <w:szCs w:val="18"/>
                <w:color w:val="auto"/>
              </w:rPr>
              <w:t>Share of income from equity method investments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Impairment loss on long-lived assets</w:t>
            </w:r>
            <w:r>
              <w:rPr>
                <w:rFonts w:ascii="Arial" w:cs="Arial" w:eastAsia="Arial" w:hAnsi="Arial"/>
                <w:sz w:val="22"/>
                <w:szCs w:val="22"/>
                <w:color w:val="auto"/>
                <w:vertAlign w:val="superscript"/>
              </w:rPr>
              <w:t>(i)</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line="225" w:lineRule="exact"/>
              <w:rPr>
                <w:sz w:val="20"/>
                <w:szCs w:val="20"/>
                <w:color w:val="auto"/>
              </w:rPr>
            </w:pPr>
            <w:r>
              <w:rPr>
                <w:rFonts w:ascii="Arial" w:cs="Arial" w:eastAsia="Arial" w:hAnsi="Arial"/>
                <w:sz w:val="18"/>
                <w:szCs w:val="18"/>
                <w:color w:val="auto"/>
              </w:rPr>
              <w:t>Gain on revaluation of derivative liabilities</w:t>
            </w:r>
            <w:r>
              <w:rPr>
                <w:rFonts w:ascii="Arial" w:cs="Arial" w:eastAsia="Arial" w:hAnsi="Arial"/>
                <w:sz w:val="22"/>
                <w:szCs w:val="22"/>
                <w:color w:val="auto"/>
                <w:vertAlign w:val="superscript"/>
              </w:rPr>
              <w:t>(ii)</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320"/>
              <w:spacing w:after="0" w:line="225" w:lineRule="exact"/>
              <w:rPr>
                <w:sz w:val="20"/>
                <w:szCs w:val="20"/>
                <w:color w:val="auto"/>
              </w:rPr>
            </w:pPr>
            <w:r>
              <w:rPr>
                <w:rFonts w:ascii="Arial" w:cs="Arial" w:eastAsia="Arial" w:hAnsi="Arial"/>
                <w:sz w:val="18"/>
                <w:szCs w:val="18"/>
                <w:color w:val="auto"/>
              </w:rPr>
              <w:t>Gain on revaluation of financial instruments</w:t>
            </w:r>
            <w:r>
              <w:rPr>
                <w:rFonts w:ascii="Arial" w:cs="Arial" w:eastAsia="Arial" w:hAnsi="Arial"/>
                <w:sz w:val="22"/>
                <w:szCs w:val="22"/>
                <w:color w:val="auto"/>
                <w:vertAlign w:val="superscript"/>
              </w:rPr>
              <w:t>(iii)</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31"/>
        </w:trPr>
        <w:tc>
          <w:tcPr>
            <w:tcW w:w="4680" w:type="dxa"/>
            <w:vAlign w:val="bottom"/>
          </w:tcPr>
          <w:p>
            <w:pPr>
              <w:ind w:left="320"/>
              <w:spacing w:after="0"/>
              <w:rPr>
                <w:sz w:val="20"/>
                <w:szCs w:val="20"/>
                <w:color w:val="auto"/>
              </w:rPr>
            </w:pPr>
            <w:r>
              <w:rPr>
                <w:rFonts w:ascii="Arial" w:cs="Arial" w:eastAsia="Arial" w:hAnsi="Arial"/>
                <w:sz w:val="18"/>
                <w:szCs w:val="18"/>
                <w:color w:val="auto"/>
              </w:rPr>
              <w:t>Foreign currency transaction loss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32"/>
        </w:trPr>
        <w:tc>
          <w:tcPr>
            <w:tcW w:w="4680" w:type="dxa"/>
            <w:vAlign w:val="bottom"/>
            <w:shd w:val="clear" w:color="auto" w:fill="CCEEFF"/>
          </w:tcPr>
          <w:p>
            <w:pPr>
              <w:ind w:left="320"/>
              <w:spacing w:after="0" w:line="232"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(v)</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5"/>
        </w:trPr>
        <w:tc>
          <w:tcPr>
            <w:tcW w:w="4680" w:type="dxa"/>
            <w:vAlign w:val="bottom"/>
          </w:tcPr>
          <w:p>
            <w:pPr>
              <w:ind w:left="340"/>
              <w:spacing w:after="0" w:line="225"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(vi)</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(vii)</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line="225" w:lineRule="exact"/>
              <w:rPr>
                <w:sz w:val="20"/>
                <w:szCs w:val="20"/>
                <w:color w:val="auto"/>
              </w:rPr>
            </w:pPr>
            <w:r>
              <w:rPr>
                <w:rFonts w:ascii="Arial" w:cs="Arial" w:eastAsia="Arial" w:hAnsi="Arial"/>
                <w:sz w:val="18"/>
                <w:szCs w:val="18"/>
                <w:color w:val="auto"/>
              </w:rPr>
              <w:t>Financial statement review costs</w:t>
            </w:r>
            <w:r>
              <w:rPr>
                <w:rFonts w:ascii="Arial" w:cs="Arial" w:eastAsia="Arial" w:hAnsi="Arial"/>
                <w:sz w:val="22"/>
                <w:szCs w:val="22"/>
                <w:color w:val="auto"/>
                <w:vertAlign w:val="superscript"/>
              </w:rPr>
              <w:t>(viii)</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320"/>
              <w:spacing w:after="0" w:line="225" w:lineRule="exact"/>
              <w:rPr>
                <w:sz w:val="20"/>
                <w:szCs w:val="20"/>
                <w:color w:val="auto"/>
              </w:rPr>
            </w:pPr>
            <w:r>
              <w:rPr>
                <w:rFonts w:ascii="Arial" w:cs="Arial" w:eastAsia="Arial" w:hAnsi="Arial"/>
                <w:sz w:val="18"/>
                <w:szCs w:val="18"/>
                <w:color w:val="auto"/>
              </w:rPr>
              <w:t>Inventory write-down</w:t>
            </w:r>
            <w:r>
              <w:rPr>
                <w:rFonts w:ascii="Arial" w:cs="Arial" w:eastAsia="Arial" w:hAnsi="Arial"/>
                <w:sz w:val="22"/>
                <w:szCs w:val="22"/>
                <w:color w:val="auto"/>
                <w:vertAlign w:val="superscript"/>
              </w:rPr>
              <w:t>(ix)</w:t>
            </w: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1"/>
        </w:trPr>
        <w:tc>
          <w:tcPr>
            <w:tcW w:w="468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13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w:t>
            </w:r>
          </w:p>
        </w:tc>
        <w:tc>
          <w:tcPr>
            <w:tcW w:w="2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7"/>
        </w:trPr>
        <w:tc>
          <w:tcPr>
            <w:tcW w:w="4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jc w:val="center"/>
              <w:ind w:left="1194"/>
              <w:spacing w:after="0"/>
              <w:rPr>
                <w:sz w:val="20"/>
                <w:szCs w:val="20"/>
                <w:color w:val="auto"/>
              </w:rPr>
            </w:pPr>
            <w:r>
              <w:rPr>
                <w:rFonts w:ascii="Arial" w:cs="Arial" w:eastAsia="Arial" w:hAnsi="Arial"/>
                <w:sz w:val="14"/>
                <w:szCs w:val="14"/>
                <w:b w:val="1"/>
                <w:bCs w:val="1"/>
                <w:color w:val="auto"/>
                <w:w w:val="89"/>
              </w:rPr>
              <w:t>Three months ended June 30, 2022</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Continuing Operations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Discontinued Operations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(17,527)</w:t>
            </w: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benefit</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31"/>
        </w:trPr>
        <w:tc>
          <w:tcPr>
            <w:tcW w:w="4680" w:type="dxa"/>
            <w:vAlign w:val="bottom"/>
          </w:tcPr>
          <w:p>
            <w:pPr>
              <w:ind w:left="320"/>
              <w:spacing w:after="0"/>
              <w:rPr>
                <w:sz w:val="20"/>
                <w:szCs w:val="20"/>
                <w:color w:val="auto"/>
              </w:rPr>
            </w:pPr>
            <w:r>
              <w:rPr>
                <w:rFonts w:ascii="Arial" w:cs="Arial" w:eastAsia="Arial" w:hAnsi="Arial"/>
                <w:sz w:val="18"/>
                <w:szCs w:val="18"/>
                <w:color w:val="auto"/>
              </w:rPr>
              <w:t>Share of income from equity method investments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32"/>
        </w:trPr>
        <w:tc>
          <w:tcPr>
            <w:tcW w:w="4680" w:type="dxa"/>
            <w:vAlign w:val="bottom"/>
            <w:shd w:val="clear" w:color="auto" w:fill="CCEEFF"/>
          </w:tcPr>
          <w:p>
            <w:pPr>
              <w:ind w:left="320"/>
              <w:spacing w:after="0" w:line="232" w:lineRule="exact"/>
              <w:rPr>
                <w:sz w:val="20"/>
                <w:szCs w:val="20"/>
                <w:color w:val="auto"/>
              </w:rPr>
            </w:pPr>
            <w:r>
              <w:rPr>
                <w:rFonts w:ascii="Arial" w:cs="Arial" w:eastAsia="Arial" w:hAnsi="Arial"/>
                <w:sz w:val="18"/>
                <w:szCs w:val="18"/>
                <w:color w:val="auto"/>
              </w:rPr>
              <w:t>Gain on revaluation of derivative liabilities</w:t>
            </w:r>
            <w:r>
              <w:rPr>
                <w:rFonts w:ascii="Arial" w:cs="Arial" w:eastAsia="Arial" w:hAnsi="Arial"/>
                <w:sz w:val="22"/>
                <w:szCs w:val="22"/>
                <w:color w:val="auto"/>
                <w:vertAlign w:val="superscript"/>
              </w:rPr>
              <w:t>(ii)</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line="225" w:lineRule="exact"/>
              <w:rPr>
                <w:sz w:val="20"/>
                <w:szCs w:val="20"/>
                <w:color w:val="auto"/>
              </w:rPr>
            </w:pPr>
            <w:r>
              <w:rPr>
                <w:rFonts w:ascii="Arial" w:cs="Arial" w:eastAsia="Arial" w:hAnsi="Arial"/>
                <w:sz w:val="18"/>
                <w:szCs w:val="18"/>
                <w:color w:val="auto"/>
              </w:rPr>
              <w:t>Loss on revaluation of financial instruments</w:t>
            </w:r>
            <w:r>
              <w:rPr>
                <w:rFonts w:ascii="Arial" w:cs="Arial" w:eastAsia="Arial" w:hAnsi="Arial"/>
                <w:sz w:val="22"/>
                <w:szCs w:val="22"/>
                <w:color w:val="auto"/>
                <w:vertAlign w:val="superscript"/>
              </w:rPr>
              <w:t>(iii)</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9"/>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transaction loss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8"/>
        </w:trPr>
        <w:tc>
          <w:tcPr>
            <w:tcW w:w="4680" w:type="dxa"/>
            <w:vAlign w:val="bottom"/>
          </w:tcPr>
          <w:p>
            <w:pPr>
              <w:ind w:left="320"/>
              <w:spacing w:after="0" w:line="239"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(v)</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320"/>
              <w:spacing w:after="0" w:line="225"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(vi)</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5"/>
        </w:trPr>
        <w:tc>
          <w:tcPr>
            <w:tcW w:w="4680" w:type="dxa"/>
            <w:vAlign w:val="bottom"/>
          </w:tcPr>
          <w:p>
            <w:pPr>
              <w:ind w:left="320"/>
              <w:spacing w:after="0" w:line="225"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(vii)</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9"/>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Financial statement review costs</w:t>
            </w:r>
            <w:r>
              <w:rPr>
                <w:rFonts w:ascii="Arial" w:cs="Arial" w:eastAsia="Arial" w:hAnsi="Arial"/>
                <w:sz w:val="22"/>
                <w:szCs w:val="22"/>
                <w:color w:val="auto"/>
                <w:vertAlign w:val="superscript"/>
              </w:rPr>
              <w:t>(viii)</w:t>
            </w:r>
          </w:p>
        </w:tc>
        <w:tc>
          <w:tcPr>
            <w:tcW w:w="13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(16,643)</w:t>
            </w:r>
          </w:p>
        </w:tc>
        <w:tc>
          <w:tcPr>
            <w:tcW w:w="20" w:type="dxa"/>
            <w:vAlign w:val="bottom"/>
          </w:tcPr>
          <w:p>
            <w:pPr>
              <w:spacing w:after="0"/>
              <w:rPr>
                <w:sz w:val="19"/>
                <w:szCs w:val="19"/>
                <w:color w:val="auto"/>
              </w:rPr>
            </w:pPr>
          </w:p>
        </w:tc>
        <w:tc>
          <w:tcPr>
            <w:tcW w:w="700" w:type="dxa"/>
            <w:vAlign w:val="bottom"/>
            <w:gridSpan w:val="3"/>
          </w:tcPr>
          <w:p>
            <w:pPr>
              <w:jc w:val="right"/>
              <w:ind w:right="44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(2,156)</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(18,799)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60" w:type="dxa"/>
            <w:vAlign w:val="bottom"/>
            <w:vMerge w:val="restart"/>
          </w:tcPr>
          <w:p>
            <w:pPr>
              <w:jc w:val="right"/>
              <w:ind w:right="232"/>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46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7130415</wp:posOffset>
            </wp:positionH>
            <wp:positionV relativeFrom="paragraph">
              <wp:posOffset>-1202690</wp:posOffset>
            </wp:positionV>
            <wp:extent cx="8255"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4287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w w:val="97"/>
              </w:rPr>
              <w:t>Table of Contents</w:t>
            </w:r>
          </w:p>
        </w:tc>
      </w:tr>
      <w:tr>
        <w:trPr>
          <w:trHeight w:val="645"/>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6"/>
          </w:tcPr>
          <w:p>
            <w:pPr>
              <w:jc w:val="center"/>
              <w:ind w:left="1194"/>
              <w:spacing w:after="0"/>
              <w:rPr>
                <w:sz w:val="20"/>
                <w:szCs w:val="20"/>
                <w:color w:val="auto"/>
              </w:rPr>
            </w:pPr>
            <w:r>
              <w:rPr>
                <w:rFonts w:ascii="Arial" w:cs="Arial" w:eastAsia="Arial" w:hAnsi="Arial"/>
                <w:sz w:val="14"/>
                <w:szCs w:val="14"/>
                <w:b w:val="1"/>
                <w:bCs w:val="1"/>
                <w:color w:val="auto"/>
                <w:w w:val="89"/>
              </w:rPr>
              <w:t>Six months ended June 30, 2023</w:t>
            </w:r>
          </w:p>
        </w:tc>
        <w:tc>
          <w:tcPr>
            <w:tcW w:w="1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6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Continuing Operations</w:t>
            </w:r>
          </w:p>
        </w:tc>
        <w:tc>
          <w:tcPr>
            <w:tcW w:w="10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Discontinued Operations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Total</w:t>
            </w:r>
          </w:p>
        </w:tc>
      </w:tr>
      <w:tr>
        <w:trPr>
          <w:trHeight w:val="23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7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(27,754)</w:t>
            </w:r>
          </w:p>
        </w:tc>
      </w:tr>
      <w:tr>
        <w:trPr>
          <w:trHeight w:val="225"/>
        </w:trPr>
        <w:tc>
          <w:tcPr>
            <w:tcW w:w="604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(23,646)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(23,654)</w:t>
            </w:r>
          </w:p>
        </w:tc>
      </w:tr>
      <w:tr>
        <w:trPr>
          <w:trHeight w:val="226"/>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38"/>
        </w:trPr>
        <w:tc>
          <w:tcPr>
            <w:tcW w:w="6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4,785</w:t>
            </w:r>
          </w:p>
        </w:tc>
      </w:tr>
      <w:tr>
        <w:trPr>
          <w:trHeight w:val="219"/>
        </w:trPr>
        <w:tc>
          <w:tcPr>
            <w:tcW w:w="604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(48,239)</w:t>
            </w:r>
          </w:p>
        </w:tc>
      </w:tr>
      <w:tr>
        <w:trPr>
          <w:trHeight w:val="225"/>
        </w:trPr>
        <w:tc>
          <w:tcPr>
            <w:tcW w:w="6040" w:type="dxa"/>
            <w:vAlign w:val="bottom"/>
          </w:tcPr>
          <w:p>
            <w:pPr>
              <w:ind w:left="320"/>
              <w:spacing w:after="0"/>
              <w:rPr>
                <w:sz w:val="20"/>
                <w:szCs w:val="20"/>
                <w:color w:val="auto"/>
              </w:rPr>
            </w:pPr>
            <w:r>
              <w:rPr>
                <w:rFonts w:ascii="Arial" w:cs="Arial" w:eastAsia="Arial" w:hAnsi="Arial"/>
                <w:sz w:val="18"/>
                <w:szCs w:val="18"/>
                <w:color w:val="auto"/>
              </w:rPr>
              <w:t>Share of loss from equity method investments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39"/>
        </w:trPr>
        <w:tc>
          <w:tcPr>
            <w:tcW w:w="604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Impairment loss on long-lived assets</w:t>
            </w:r>
            <w:r>
              <w:rPr>
                <w:rFonts w:ascii="Arial" w:cs="Arial" w:eastAsia="Arial" w:hAnsi="Arial"/>
                <w:sz w:val="22"/>
                <w:szCs w:val="22"/>
                <w:color w:val="auto"/>
                <w:vertAlign w:val="superscript"/>
              </w:rPr>
              <w:t>(i)</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Loss on revaluation of derivative liabilities</w:t>
            </w:r>
            <w:r>
              <w:rPr>
                <w:rFonts w:ascii="Arial" w:cs="Arial" w:eastAsia="Arial" w:hAnsi="Arial"/>
                <w:sz w:val="22"/>
                <w:szCs w:val="22"/>
                <w:color w:val="auto"/>
                <w:vertAlign w:val="superscript"/>
              </w:rPr>
              <w:t>(ii)</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Arial" w:cs="Arial" w:eastAsia="Arial" w:hAnsi="Arial"/>
                <w:sz w:val="18"/>
                <w:szCs w:val="18"/>
                <w:color w:val="auto"/>
              </w:rPr>
              <w:t>Loss on revaluation of financial instruments</w:t>
            </w:r>
            <w:r>
              <w:rPr>
                <w:rFonts w:ascii="Arial" w:cs="Arial" w:eastAsia="Arial" w:hAnsi="Arial"/>
                <w:sz w:val="22"/>
                <w:szCs w:val="22"/>
                <w:color w:val="auto"/>
                <w:vertAlign w:val="superscript"/>
              </w:rPr>
              <w:t>(iii)</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31"/>
        </w:trPr>
        <w:tc>
          <w:tcPr>
            <w:tcW w:w="6040" w:type="dxa"/>
            <w:vAlign w:val="bottom"/>
          </w:tcPr>
          <w:p>
            <w:pPr>
              <w:ind w:left="32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4,817</w:t>
            </w:r>
          </w:p>
        </w:tc>
      </w:tr>
      <w:tr>
        <w:trPr>
          <w:trHeight w:val="232"/>
        </w:trPr>
        <w:tc>
          <w:tcPr>
            <w:tcW w:w="6040" w:type="dxa"/>
            <w:vAlign w:val="bottom"/>
            <w:shd w:val="clear" w:color="auto" w:fill="CCEEFF"/>
          </w:tcPr>
          <w:p>
            <w:pPr>
              <w:ind w:left="320"/>
              <w:spacing w:after="0" w:line="232"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(v)</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(vi)</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w:t>
            </w:r>
          </w:p>
        </w:tc>
      </w:tr>
      <w:tr>
        <w:trPr>
          <w:trHeight w:val="238"/>
        </w:trPr>
        <w:tc>
          <w:tcPr>
            <w:tcW w:w="604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(vii)</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Financial statement review costs</w:t>
            </w:r>
            <w:r>
              <w:rPr>
                <w:rFonts w:ascii="Arial" w:cs="Arial" w:eastAsia="Arial" w:hAnsi="Arial"/>
                <w:sz w:val="22"/>
                <w:szCs w:val="22"/>
                <w:color w:val="auto"/>
                <w:vertAlign w:val="superscript"/>
              </w:rPr>
              <w:t>(viii)</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25"/>
        </w:trPr>
        <w:tc>
          <w:tcPr>
            <w:tcW w:w="6040" w:type="dxa"/>
            <w:vAlign w:val="bottom"/>
            <w:tcBorders>
              <w:bottom w:val="single" w:sz="8" w:color="CCEEFF"/>
            </w:tcBorders>
            <w:shd w:val="clear" w:color="auto" w:fill="CCEEFF"/>
          </w:tcPr>
          <w:p>
            <w:pPr>
              <w:ind w:left="320"/>
              <w:spacing w:after="0" w:line="225" w:lineRule="exact"/>
              <w:rPr>
                <w:sz w:val="20"/>
                <w:szCs w:val="20"/>
                <w:color w:val="auto"/>
              </w:rPr>
            </w:pPr>
            <w:r>
              <w:rPr>
                <w:rFonts w:ascii="Arial" w:cs="Arial" w:eastAsia="Arial" w:hAnsi="Arial"/>
                <w:sz w:val="18"/>
                <w:szCs w:val="18"/>
                <w:color w:val="auto"/>
              </w:rPr>
              <w:t>Inventory write-down</w:t>
            </w:r>
            <w:r>
              <w:rPr>
                <w:rFonts w:ascii="Arial" w:cs="Arial" w:eastAsia="Arial" w:hAnsi="Arial"/>
                <w:sz w:val="22"/>
                <w:szCs w:val="22"/>
                <w:color w:val="auto"/>
                <w:vertAlign w:val="superscript"/>
              </w:rPr>
              <w:t>(ix)</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(31,587)</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(33,645)</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27"/>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6"/>
          </w:tcPr>
          <w:p>
            <w:pPr>
              <w:jc w:val="center"/>
              <w:ind w:left="1194"/>
              <w:spacing w:after="0"/>
              <w:rPr>
                <w:sz w:val="20"/>
                <w:szCs w:val="20"/>
                <w:color w:val="auto"/>
              </w:rPr>
            </w:pPr>
            <w:r>
              <w:rPr>
                <w:rFonts w:ascii="Arial" w:cs="Arial" w:eastAsia="Arial" w:hAnsi="Arial"/>
                <w:sz w:val="14"/>
                <w:szCs w:val="14"/>
                <w:b w:val="1"/>
                <w:bCs w:val="1"/>
                <w:color w:val="auto"/>
                <w:w w:val="89"/>
              </w:rPr>
              <w:t>Six months ended June 30, 2022</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6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Continuing Operations</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Discontinued Operations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Total</w:t>
            </w:r>
          </w:p>
        </w:tc>
      </w:tr>
      <w:tr>
        <w:trPr>
          <w:trHeight w:val="22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(45,892)</w:t>
            </w:r>
          </w:p>
        </w:tc>
        <w:tc>
          <w:tcPr>
            <w:tcW w:w="7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(52,991)</w:t>
            </w:r>
          </w:p>
        </w:tc>
      </w:tr>
      <w:tr>
        <w:trPr>
          <w:trHeight w:val="225"/>
        </w:trPr>
        <w:tc>
          <w:tcPr>
            <w:tcW w:w="604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(5,821)</w:t>
            </w:r>
          </w:p>
        </w:tc>
      </w:tr>
      <w:tr>
        <w:trPr>
          <w:trHeight w:val="239"/>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6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7,766</w:t>
            </w:r>
          </w:p>
        </w:tc>
      </w:tr>
      <w:tr>
        <w:trPr>
          <w:trHeight w:val="219"/>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(50,992)</w:t>
            </w:r>
          </w:p>
        </w:tc>
      </w:tr>
      <w:tr>
        <w:trPr>
          <w:trHeight w:val="231"/>
        </w:trPr>
        <w:tc>
          <w:tcPr>
            <w:tcW w:w="6040" w:type="dxa"/>
            <w:vAlign w:val="bottom"/>
          </w:tcPr>
          <w:p>
            <w:pPr>
              <w:ind w:left="320"/>
              <w:spacing w:after="0"/>
              <w:rPr>
                <w:sz w:val="20"/>
                <w:szCs w:val="20"/>
                <w:color w:val="auto"/>
              </w:rPr>
            </w:pPr>
            <w:r>
              <w:rPr>
                <w:rFonts w:ascii="Arial" w:cs="Arial" w:eastAsia="Arial" w:hAnsi="Arial"/>
                <w:sz w:val="18"/>
                <w:szCs w:val="18"/>
                <w:color w:val="auto"/>
              </w:rPr>
              <w:t>Share of income from equity method investments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(5,197)</w:t>
            </w:r>
          </w:p>
        </w:tc>
      </w:tr>
      <w:tr>
        <w:trPr>
          <w:trHeight w:val="232"/>
        </w:trPr>
        <w:tc>
          <w:tcPr>
            <w:tcW w:w="6040" w:type="dxa"/>
            <w:vAlign w:val="bottom"/>
            <w:shd w:val="clear" w:color="auto" w:fill="CCEEFF"/>
          </w:tcPr>
          <w:p>
            <w:pPr>
              <w:ind w:left="320"/>
              <w:spacing w:after="0" w:line="232" w:lineRule="exact"/>
              <w:rPr>
                <w:sz w:val="20"/>
                <w:szCs w:val="20"/>
                <w:color w:val="auto"/>
              </w:rPr>
            </w:pPr>
            <w:r>
              <w:rPr>
                <w:rFonts w:ascii="Arial" w:cs="Arial" w:eastAsia="Arial" w:hAnsi="Arial"/>
                <w:sz w:val="18"/>
                <w:szCs w:val="18"/>
                <w:color w:val="auto"/>
              </w:rPr>
              <w:t>Impairment loss on long-lived assets</w:t>
            </w:r>
            <w:r>
              <w:rPr>
                <w:rFonts w:ascii="Arial" w:cs="Arial" w:eastAsia="Arial" w:hAnsi="Arial"/>
                <w:sz w:val="22"/>
                <w:szCs w:val="22"/>
                <w:color w:val="auto"/>
                <w:vertAlign w:val="superscript"/>
              </w:rPr>
              <w:t>(i)</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Gain on revaluation of derivative liabilities</w:t>
            </w:r>
            <w:r>
              <w:rPr>
                <w:rFonts w:ascii="Arial" w:cs="Arial" w:eastAsia="Arial" w:hAnsi="Arial"/>
                <w:sz w:val="22"/>
                <w:szCs w:val="22"/>
                <w:color w:val="auto"/>
                <w:vertAlign w:val="superscript"/>
              </w:rPr>
              <w:t>(ii)</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(13,829)</w:t>
            </w: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Arial" w:cs="Arial" w:eastAsia="Arial" w:hAnsi="Arial"/>
                <w:sz w:val="18"/>
                <w:szCs w:val="18"/>
                <w:color w:val="auto"/>
              </w:rPr>
              <w:t>Gain on revaluation of financial instruments</w:t>
            </w:r>
            <w:r>
              <w:rPr>
                <w:rFonts w:ascii="Arial" w:cs="Arial" w:eastAsia="Arial" w:hAnsi="Arial"/>
                <w:sz w:val="22"/>
                <w:szCs w:val="22"/>
                <w:color w:val="auto"/>
                <w:vertAlign w:val="superscript"/>
              </w:rPr>
              <w:t>(iii)</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38"/>
        </w:trPr>
        <w:tc>
          <w:tcPr>
            <w:tcW w:w="6040" w:type="dxa"/>
            <w:vAlign w:val="bottom"/>
          </w:tcPr>
          <w:p>
            <w:pPr>
              <w:ind w:left="320"/>
              <w:spacing w:after="0" w:line="239" w:lineRule="exact"/>
              <w:rPr>
                <w:sz w:val="20"/>
                <w:szCs w:val="20"/>
                <w:color w:val="auto"/>
              </w:rPr>
            </w:pPr>
            <w:r>
              <w:rPr>
                <w:rFonts w:ascii="Arial" w:cs="Arial" w:eastAsia="Arial" w:hAnsi="Arial"/>
                <w:sz w:val="18"/>
                <w:szCs w:val="18"/>
                <w:color w:val="auto"/>
              </w:rPr>
              <w:t>Impairment loss on other investments</w:t>
            </w:r>
            <w:r>
              <w:rPr>
                <w:rFonts w:ascii="Arial" w:cs="Arial" w:eastAsia="Arial" w:hAnsi="Arial"/>
                <w:sz w:val="22"/>
                <w:szCs w:val="22"/>
                <w:color w:val="auto"/>
                <w:vertAlign w:val="superscript"/>
              </w:rPr>
              <w:t>(iv)</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11,238</w:t>
            </w:r>
          </w:p>
        </w:tc>
      </w:tr>
      <w:tr>
        <w:trPr>
          <w:trHeight w:val="225"/>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(v)</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39"/>
        </w:trPr>
        <w:tc>
          <w:tcPr>
            <w:tcW w:w="6040" w:type="dxa"/>
            <w:vAlign w:val="bottom"/>
            <w:shd w:val="clear" w:color="auto" w:fill="CCEEFF"/>
          </w:tcPr>
          <w:p>
            <w:pPr>
              <w:ind w:left="320"/>
              <w:spacing w:after="0" w:line="239"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(vi)</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w:t>
            </w:r>
          </w:p>
        </w:tc>
      </w:tr>
      <w:tr>
        <w:trPr>
          <w:trHeight w:val="225"/>
        </w:trPr>
        <w:tc>
          <w:tcPr>
            <w:tcW w:w="6040" w:type="dxa"/>
            <w:vAlign w:val="bottom"/>
          </w:tcPr>
          <w:p>
            <w:pPr>
              <w:ind w:left="320"/>
              <w:spacing w:after="0" w:line="225"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(vii)</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6,302</w:t>
            </w:r>
          </w:p>
        </w:tc>
      </w:tr>
      <w:tr>
        <w:trPr>
          <w:trHeight w:val="225"/>
        </w:trPr>
        <w:tc>
          <w:tcPr>
            <w:tcW w:w="6040" w:type="dxa"/>
            <w:vAlign w:val="bottom"/>
            <w:tcBorders>
              <w:bottom w:val="single" w:sz="8" w:color="CCEEFF"/>
            </w:tcBorders>
            <w:shd w:val="clear" w:color="auto" w:fill="CCEEFF"/>
          </w:tcPr>
          <w:p>
            <w:pPr>
              <w:ind w:left="320"/>
              <w:spacing w:after="0" w:line="225" w:lineRule="exact"/>
              <w:rPr>
                <w:sz w:val="20"/>
                <w:szCs w:val="20"/>
                <w:color w:val="auto"/>
              </w:rPr>
            </w:pPr>
            <w:r>
              <w:rPr>
                <w:rFonts w:ascii="Arial" w:cs="Arial" w:eastAsia="Arial" w:hAnsi="Arial"/>
                <w:sz w:val="18"/>
                <w:szCs w:val="18"/>
                <w:color w:val="auto"/>
              </w:rPr>
              <w:t>Financial statement review costs</w:t>
            </w:r>
            <w:r>
              <w:rPr>
                <w:rFonts w:ascii="Arial" w:cs="Arial" w:eastAsia="Arial" w:hAnsi="Arial"/>
                <w:sz w:val="22"/>
                <w:szCs w:val="22"/>
                <w:color w:val="auto"/>
                <w:vertAlign w:val="superscript"/>
              </w:rPr>
              <w:t>(viii)</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5,216</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(32,094)</w:t>
            </w:r>
          </w:p>
        </w:tc>
        <w:tc>
          <w:tcPr>
            <w:tcW w:w="70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(4,890)</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(36,984)</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480" w:hanging="474"/>
        <w:spacing w:after="0" w:line="270" w:lineRule="auto"/>
        <w:tabs>
          <w:tab w:leader="none" w:pos="480" w:val="left"/>
        </w:tabs>
        <w:numPr>
          <w:ilvl w:val="0"/>
          <w:numId w:val="42"/>
        </w:numPr>
        <w:rPr>
          <w:rFonts w:ascii="Arial" w:cs="Arial" w:eastAsia="Arial" w:hAnsi="Arial"/>
          <w:sz w:val="9"/>
          <w:szCs w:val="9"/>
          <w:color w:val="auto"/>
        </w:rPr>
      </w:pPr>
      <w:r>
        <w:rPr>
          <w:rFonts w:ascii="Arial" w:cs="Arial" w:eastAsia="Arial" w:hAnsi="Arial"/>
          <w:sz w:val="14"/>
          <w:szCs w:val="14"/>
          <w:color w:val="auto"/>
        </w:rPr>
        <w:t>For the three and six months ended June 30, 2023, impairment loss on long-lived assets related to certain leased properties associated with the Company’s U.S. operations. For the six months ended June 30, 2022, impairment loss on long-lived assets related to the Company’s decision to seek a sublease for leased office space in Toronto, Ontario, Canada during the first quarter of 2022. See Note 12 “</w:t>
      </w:r>
      <w:r>
        <w:rPr>
          <w:rFonts w:ascii="Arial" w:cs="Arial" w:eastAsia="Arial" w:hAnsi="Arial"/>
          <w:sz w:val="14"/>
          <w:szCs w:val="14"/>
          <w:i w:val="1"/>
          <w:iCs w:val="1"/>
          <w:color w:val="auto"/>
        </w:rPr>
        <w:t>Impairment Loss on Long-lived Assets.</w:t>
      </w:r>
      <w:r>
        <w:rPr>
          <w:rFonts w:ascii="Arial" w:cs="Arial" w:eastAsia="Arial" w:hAnsi="Arial"/>
          <w:sz w:val="14"/>
          <w:szCs w:val="14"/>
          <w:color w:val="auto"/>
        </w:rPr>
        <w:t>”</w:t>
      </w:r>
    </w:p>
    <w:p>
      <w:pPr>
        <w:spacing w:after="0" w:line="26" w:lineRule="exact"/>
        <w:rPr>
          <w:rFonts w:ascii="Arial" w:cs="Arial" w:eastAsia="Arial" w:hAnsi="Arial"/>
          <w:sz w:val="9"/>
          <w:szCs w:val="9"/>
          <w:color w:val="auto"/>
        </w:rPr>
      </w:pPr>
    </w:p>
    <w:p>
      <w:pPr>
        <w:ind w:left="480" w:hanging="474"/>
        <w:spacing w:after="0" w:line="229" w:lineRule="auto"/>
        <w:tabs>
          <w:tab w:leader="none" w:pos="48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2023 and 2022, (gain) loss on revaluation of derivative liabilities represents the fair value changes on the derivative liabilities. See Note 6 “</w:t>
      </w:r>
      <w:r>
        <w:rPr>
          <w:rFonts w:ascii="Arial" w:cs="Arial" w:eastAsia="Arial" w:hAnsi="Arial"/>
          <w:sz w:val="14"/>
          <w:szCs w:val="14"/>
          <w:i w:val="1"/>
          <w:iCs w:val="1"/>
          <w:color w:val="auto"/>
        </w:rPr>
        <w:t>Derivative Liabilities.</w:t>
      </w:r>
      <w:r>
        <w:rPr>
          <w:rFonts w:ascii="Arial" w:cs="Arial" w:eastAsia="Arial" w:hAnsi="Arial"/>
          <w:sz w:val="14"/>
          <w:szCs w:val="14"/>
          <w:color w:val="auto"/>
        </w:rPr>
        <w:t>”</w:t>
      </w:r>
    </w:p>
    <w:p>
      <w:pPr>
        <w:spacing w:after="0" w:line="33" w:lineRule="exact"/>
        <w:rPr>
          <w:rFonts w:ascii="Arial" w:cs="Arial" w:eastAsia="Arial" w:hAnsi="Arial"/>
          <w:sz w:val="18"/>
          <w:szCs w:val="18"/>
          <w:color w:val="auto"/>
          <w:vertAlign w:val="superscript"/>
        </w:rPr>
      </w:pPr>
    </w:p>
    <w:p>
      <w:pPr>
        <w:ind w:left="480" w:hanging="474"/>
        <w:spacing w:after="0"/>
        <w:tabs>
          <w:tab w:leader="none" w:pos="480" w:val="left"/>
        </w:tabs>
        <w:numPr>
          <w:ilvl w:val="0"/>
          <w:numId w:val="42"/>
        </w:numPr>
        <w:rPr>
          <w:rFonts w:ascii="Arial" w:cs="Arial" w:eastAsia="Arial" w:hAnsi="Arial"/>
          <w:sz w:val="9"/>
          <w:szCs w:val="9"/>
          <w:color w:val="auto"/>
        </w:rPr>
      </w:pPr>
      <w:r>
        <w:rPr>
          <w:rFonts w:ascii="Arial" w:cs="Arial" w:eastAsia="Arial" w:hAnsi="Arial"/>
          <w:sz w:val="14"/>
          <w:szCs w:val="14"/>
          <w:color w:val="auto"/>
        </w:rPr>
        <w:t>For the three and six months ended June 30, 2023 and 2022, (gain) loss on revaluation of financial instruments related primarily to the Company’s equity securities in Vitura.</w:t>
      </w:r>
    </w:p>
    <w:p>
      <w:pPr>
        <w:spacing w:after="0" w:line="64" w:lineRule="exact"/>
        <w:rPr>
          <w:rFonts w:ascii="Arial" w:cs="Arial" w:eastAsia="Arial" w:hAnsi="Arial"/>
          <w:sz w:val="9"/>
          <w:szCs w:val="9"/>
          <w:color w:val="auto"/>
        </w:rPr>
      </w:pPr>
    </w:p>
    <w:p>
      <w:pPr>
        <w:ind w:left="480" w:hanging="474"/>
        <w:spacing w:after="0" w:line="284" w:lineRule="auto"/>
        <w:tabs>
          <w:tab w:leader="none" w:pos="480" w:val="left"/>
        </w:tabs>
        <w:numPr>
          <w:ilvl w:val="0"/>
          <w:numId w:val="42"/>
        </w:numPr>
        <w:rPr>
          <w:rFonts w:ascii="Arial" w:cs="Arial" w:eastAsia="Arial" w:hAnsi="Arial"/>
          <w:sz w:val="9"/>
          <w:szCs w:val="9"/>
          <w:color w:val="auto"/>
        </w:rPr>
      </w:pPr>
      <w:r>
        <w:rPr>
          <w:rFonts w:ascii="Arial" w:cs="Arial" w:eastAsia="Arial" w:hAnsi="Arial"/>
          <w:sz w:val="14"/>
          <w:szCs w:val="14"/>
          <w:color w:val="auto"/>
        </w:rPr>
        <w:t>For the six months ended June 30, 2022, impairment loss on other investments related to the PharmaCann Option for the difference between its fair value and carrying amount. See Note 4 “</w:t>
      </w:r>
      <w:r>
        <w:rPr>
          <w:rFonts w:ascii="Arial" w:cs="Arial" w:eastAsia="Arial" w:hAnsi="Arial"/>
          <w:sz w:val="14"/>
          <w:szCs w:val="14"/>
          <w:i w:val="1"/>
          <w:iCs w:val="1"/>
          <w:color w:val="auto"/>
        </w:rPr>
        <w:t>Investments.</w:t>
      </w:r>
      <w:r>
        <w:rPr>
          <w:rFonts w:ascii="Arial" w:cs="Arial" w:eastAsia="Arial" w:hAnsi="Arial"/>
          <w:sz w:val="14"/>
          <w:szCs w:val="14"/>
          <w:color w:val="auto"/>
        </w:rPr>
        <w:t>”</w:t>
      </w:r>
    </w:p>
    <w:p>
      <w:pPr>
        <w:ind w:left="480" w:hanging="474"/>
        <w:spacing w:after="0"/>
        <w:tabs>
          <w:tab w:leader="none" w:pos="48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2023 and 2022, other, net related to (gain) loss on disposal of assets.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8" w:name="page39"/>
    <w:bookmarkEnd w:id="38"/>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both"/>
        <w:ind w:left="480" w:hanging="474"/>
        <w:spacing w:after="0" w:line="260" w:lineRule="auto"/>
        <w:tabs>
          <w:tab w:leader="none" w:pos="480"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For the three and six months ended June 30, 2023, restructuring costs related to employee-related severance costs and other restructuring costs associated with our U.S. operations as described in Note 2 “</w:t>
      </w:r>
      <w:r>
        <w:rPr>
          <w:rFonts w:ascii="Arial" w:cs="Arial" w:eastAsia="Arial" w:hAnsi="Arial"/>
          <w:sz w:val="13"/>
          <w:szCs w:val="13"/>
          <w:i w:val="1"/>
          <w:iCs w:val="1"/>
          <w:color w:val="auto"/>
        </w:rPr>
        <w:t>Discontinued Operations</w:t>
      </w:r>
      <w:r>
        <w:rPr>
          <w:rFonts w:ascii="Arial" w:cs="Arial" w:eastAsia="Arial" w:hAnsi="Arial"/>
          <w:sz w:val="13"/>
          <w:szCs w:val="13"/>
          <w:color w:val="auto"/>
        </w:rPr>
        <w:t>.” For the three and six months ended June 30, 2022, restructuring costs related to the employee-related severance costs and other restructuring costs associated with the Realignment, including the change in nature of operations at the Peace Naturals Campus. See Note 7 “</w:t>
      </w:r>
      <w:r>
        <w:rPr>
          <w:rFonts w:ascii="Arial" w:cs="Arial" w:eastAsia="Arial" w:hAnsi="Arial"/>
          <w:sz w:val="13"/>
          <w:szCs w:val="13"/>
          <w:i w:val="1"/>
          <w:iCs w:val="1"/>
          <w:color w:val="auto"/>
        </w:rPr>
        <w:t>Restructuring.</w:t>
      </w:r>
      <w:r>
        <w:rPr>
          <w:rFonts w:ascii="Arial" w:cs="Arial" w:eastAsia="Arial" w:hAnsi="Arial"/>
          <w:sz w:val="13"/>
          <w:szCs w:val="13"/>
          <w:color w:val="auto"/>
        </w:rPr>
        <w:t>”</w:t>
      </w:r>
    </w:p>
    <w:p>
      <w:pPr>
        <w:spacing w:after="0" w:line="20" w:lineRule="exact"/>
        <w:rPr>
          <w:rFonts w:ascii="Arial" w:cs="Arial" w:eastAsia="Arial" w:hAnsi="Arial"/>
          <w:sz w:val="17"/>
          <w:szCs w:val="17"/>
          <w:color w:val="auto"/>
          <w:vertAlign w:val="superscript"/>
        </w:rPr>
      </w:pPr>
    </w:p>
    <w:p>
      <w:pPr>
        <w:ind w:left="480" w:hanging="474"/>
        <w:spacing w:after="0" w:line="284" w:lineRule="auto"/>
        <w:tabs>
          <w:tab w:leader="none" w:pos="480" w:val="left"/>
        </w:tabs>
        <w:numPr>
          <w:ilvl w:val="0"/>
          <w:numId w:val="43"/>
        </w:numPr>
        <w:rPr>
          <w:rFonts w:ascii="Arial" w:cs="Arial" w:eastAsia="Arial" w:hAnsi="Arial"/>
          <w:sz w:val="9"/>
          <w:szCs w:val="9"/>
          <w:color w:val="auto"/>
        </w:rPr>
      </w:pPr>
      <w:r>
        <w:rPr>
          <w:rFonts w:ascii="Arial" w:cs="Arial" w:eastAsia="Arial" w:hAnsi="Arial"/>
          <w:sz w:val="14"/>
          <w:szCs w:val="14"/>
          <w:color w:val="auto"/>
        </w:rPr>
        <w:t>For the three and six months ended June 30, 2023 and 2022, share-based compensation related to the non-cash expenses of share-based compensation awarded to employees under the Company’s share-based award plans as described in Note 8 “</w:t>
      </w:r>
      <w:r>
        <w:rPr>
          <w:rFonts w:ascii="Arial" w:cs="Arial" w:eastAsia="Arial" w:hAnsi="Arial"/>
          <w:sz w:val="14"/>
          <w:szCs w:val="14"/>
          <w:i w:val="1"/>
          <w:iCs w:val="1"/>
          <w:color w:val="auto"/>
        </w:rPr>
        <w:t>Share-based Compensation.</w:t>
      </w:r>
      <w:r>
        <w:rPr>
          <w:rFonts w:ascii="Arial" w:cs="Arial" w:eastAsia="Arial" w:hAnsi="Arial"/>
          <w:sz w:val="14"/>
          <w:szCs w:val="14"/>
          <w:color w:val="auto"/>
        </w:rPr>
        <w:t>”</w:t>
      </w:r>
    </w:p>
    <w:p>
      <w:pPr>
        <w:spacing w:after="0" w:line="16" w:lineRule="exact"/>
        <w:rPr>
          <w:rFonts w:ascii="Arial" w:cs="Arial" w:eastAsia="Arial" w:hAnsi="Arial"/>
          <w:sz w:val="9"/>
          <w:szCs w:val="9"/>
          <w:color w:val="auto"/>
        </w:rPr>
      </w:pPr>
    </w:p>
    <w:p>
      <w:pPr>
        <w:jc w:val="both"/>
        <w:ind w:left="480" w:hanging="474"/>
        <w:spacing w:after="0" w:line="237" w:lineRule="auto"/>
        <w:tabs>
          <w:tab w:leader="none" w:pos="4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2023 and 2022, financial statement review costs include costs and reserves taken related to the Restatements, costs related to the Company’s responses to requests for information from various regulatory authorities relating to the Restatements and legal costs incurred defending shareholder class action complaints brought against the Company as a result of the 2019 restatement.</w:t>
      </w:r>
    </w:p>
    <w:p>
      <w:pPr>
        <w:spacing w:after="0" w:line="34" w:lineRule="exact"/>
        <w:rPr>
          <w:rFonts w:ascii="Arial" w:cs="Arial" w:eastAsia="Arial" w:hAnsi="Arial"/>
          <w:sz w:val="18"/>
          <w:szCs w:val="18"/>
          <w:color w:val="auto"/>
          <w:vertAlign w:val="superscript"/>
        </w:rPr>
      </w:pPr>
    </w:p>
    <w:p>
      <w:pPr>
        <w:ind w:left="480" w:hanging="474"/>
        <w:spacing w:after="0" w:line="284" w:lineRule="auto"/>
        <w:tabs>
          <w:tab w:leader="none" w:pos="480" w:val="left"/>
        </w:tabs>
        <w:numPr>
          <w:ilvl w:val="0"/>
          <w:numId w:val="43"/>
        </w:numPr>
        <w:rPr>
          <w:rFonts w:ascii="Arial" w:cs="Arial" w:eastAsia="Arial" w:hAnsi="Arial"/>
          <w:sz w:val="9"/>
          <w:szCs w:val="9"/>
          <w:color w:val="auto"/>
        </w:rPr>
      </w:pPr>
      <w:r>
        <w:rPr>
          <w:rFonts w:ascii="Arial" w:cs="Arial" w:eastAsia="Arial" w:hAnsi="Arial"/>
          <w:sz w:val="14"/>
          <w:szCs w:val="14"/>
          <w:color w:val="auto"/>
        </w:rPr>
        <w:t>For the three and six months ended June 30, 2023, inventory write-downs relate to product destruction and obsolescence associated with the exit of our U.S. operations as described in Note 2 “</w:t>
      </w:r>
      <w:r>
        <w:rPr>
          <w:rFonts w:ascii="Arial" w:cs="Arial" w:eastAsia="Arial" w:hAnsi="Arial"/>
          <w:sz w:val="14"/>
          <w:szCs w:val="14"/>
          <w:i w:val="1"/>
          <w:iCs w:val="1"/>
          <w:color w:val="auto"/>
        </w:rPr>
        <w:t>Discontinued Operations</w:t>
      </w:r>
      <w:r>
        <w:rPr>
          <w:rFonts w:ascii="Arial" w:cs="Arial" w:eastAsia="Arial" w:hAnsi="Arial"/>
          <w:sz w:val="14"/>
          <w:szCs w:val="14"/>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the three and six months ended June 30, 2023, as well as cash and cash equivalents and short-term investment balances as of June 30, 2023 compared to December 31, 2022,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and six month comparative periods in 2022 rather than the actual average exchange rates in effect during the respective current periods; constant currency current and prior comparative balance sheet information is translated at the prior year-end spot rate rather than the current period spot rate. All growth comparisons relate to the corresponding period in 2022. We have provided this non-GAAP financial information to aid investors in better understanding the performance of our operations. The non-GAAP financial measures presented in this Quarterly Report should not be considered as a substitute for, or superior to, the measures of financial performance prepared in accordance with U.S. GAAP.</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 constant currency basis for the three and six months ended June 30, 2023 compared to the three and six months ended June 30, 2022 as well as cash and cash equivalents and short-term investments as of June 30, 2023 and December 31, 2022, both on an as-reported and constant currency basis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Reported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6"/>
          </w:tcPr>
          <w:p>
            <w:pPr>
              <w:ind w:left="780"/>
              <w:spacing w:after="0"/>
              <w:rPr>
                <w:sz w:val="20"/>
                <w:szCs w:val="20"/>
                <w:color w:val="auto"/>
              </w:rPr>
            </w:pPr>
            <w:r>
              <w:rPr>
                <w:rFonts w:ascii="Arial" w:cs="Arial" w:eastAsia="Arial" w:hAnsi="Arial"/>
                <w:sz w:val="14"/>
                <w:szCs w:val="14"/>
                <w:b w:val="1"/>
                <w:bCs w:val="1"/>
                <w:color w:val="auto"/>
                <w:w w:val="96"/>
              </w:rPr>
              <w:t>As Adjusted for Constant Currency</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vMerge w:val="restart"/>
          </w:tcPr>
          <w:p>
            <w:pPr>
              <w:jc w:val="right"/>
              <w:ind w:right="31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As Reported Change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39"/>
              <w:spacing w:after="0" w:line="126" w:lineRule="exact"/>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gridSpan w:val="4"/>
            <w:vMerge w:val="restart"/>
          </w:tcPr>
          <w:p>
            <w:pPr>
              <w:jc w:val="right"/>
              <w:ind w:right="215"/>
              <w:spacing w:after="0"/>
              <w:rPr>
                <w:sz w:val="20"/>
                <w:szCs w:val="20"/>
                <w:color w:val="auto"/>
              </w:rPr>
            </w:pPr>
            <w:r>
              <w:rPr>
                <w:rFonts w:ascii="Arial" w:cs="Arial" w:eastAsia="Arial" w:hAnsi="Arial"/>
                <w:sz w:val="14"/>
                <w:szCs w:val="14"/>
                <w:b w:val="1"/>
                <w:bCs w:val="1"/>
                <w:color w:val="auto"/>
                <w:w w:val="95"/>
              </w:rPr>
              <w:t>Constant Currency Change</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19,021</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21,602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20,219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(4)pp</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(4)pp</w:t>
            </w:r>
          </w:p>
        </w:tc>
        <w:tc>
          <w:tcPr>
            <w:tcW w:w="0" w:type="dxa"/>
            <w:vAlign w:val="bottom"/>
          </w:tcPr>
          <w:p>
            <w:pPr>
              <w:spacing w:after="0"/>
              <w:rPr>
                <w:sz w:val="1"/>
                <w:szCs w:val="1"/>
                <w:color w:val="auto"/>
              </w:rPr>
            </w:pPr>
          </w:p>
        </w:tc>
      </w:tr>
      <w:tr>
        <w:trPr>
          <w:trHeight w:val="265"/>
        </w:trPr>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23,719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29,624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25,216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200"/>
              <w:spacing w:after="0"/>
              <w:rPr>
                <w:sz w:val="20"/>
                <w:szCs w:val="20"/>
                <w:color w:val="auto"/>
              </w:rPr>
            </w:pPr>
            <w:r>
              <w:rPr>
                <w:rFonts w:ascii="Arial" w:cs="Arial" w:eastAsia="Arial" w:hAnsi="Arial"/>
                <w:sz w:val="18"/>
                <w:szCs w:val="18"/>
                <w:color w:val="auto"/>
              </w:rPr>
              <w:t>(17,527)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w w:val="98"/>
              </w:rPr>
              <w:t>10,811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(15,905)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(16,643)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vMerge w:val="restart"/>
          </w:tcPr>
          <w:p>
            <w:pPr>
              <w:jc w:val="right"/>
              <w:ind w:right="4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As Reported Change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59"/>
              <w:spacing w:after="0" w:line="126"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gridSpan w:val="4"/>
            <w:vMerge w:val="restart"/>
          </w:tcPr>
          <w:p>
            <w:pPr>
              <w:jc w:val="right"/>
              <w:ind w:right="215"/>
              <w:spacing w:after="0"/>
              <w:rPr>
                <w:sz w:val="20"/>
                <w:szCs w:val="20"/>
                <w:color w:val="auto"/>
              </w:rPr>
            </w:pPr>
            <w:r>
              <w:rPr>
                <w:rFonts w:ascii="Arial" w:cs="Arial" w:eastAsia="Arial" w:hAnsi="Arial"/>
                <w:sz w:val="14"/>
                <w:szCs w:val="14"/>
                <w:b w:val="1"/>
                <w:bCs w:val="1"/>
                <w:color w:val="auto"/>
                <w:w w:val="95"/>
              </w:rPr>
              <w:t>Constant Currency Change</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38,516</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44,307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41,223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11,032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(9)pp</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(9)pp</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47,415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68,094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50,571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(23,698)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200"/>
              <w:spacing w:after="0"/>
              <w:rPr>
                <w:sz w:val="20"/>
                <w:szCs w:val="20"/>
                <w:color w:val="auto"/>
              </w:rPr>
            </w:pPr>
            <w:r>
              <w:rPr>
                <w:rFonts w:ascii="Arial" w:cs="Arial" w:eastAsia="Arial" w:hAnsi="Arial"/>
                <w:sz w:val="18"/>
                <w:szCs w:val="18"/>
                <w:color w:val="auto"/>
              </w:rPr>
              <w:t>(45,892)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(25,738)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w w:val="98"/>
              </w:rPr>
              <w:t>20,154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(32,094)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(33,883)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65"/>
        </w:trPr>
        <w:tc>
          <w:tcPr>
            <w:tcW w:w="2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2"/>
              </w:rPr>
              <w:t>As of June 30,</w:t>
            </w:r>
          </w:p>
        </w:tc>
        <w:tc>
          <w:tcPr>
            <w:tcW w:w="100" w:type="dxa"/>
            <w:vAlign w:val="bottom"/>
          </w:tcPr>
          <w:p>
            <w:pPr>
              <w:spacing w:after="0"/>
              <w:rPr>
                <w:sz w:val="11"/>
                <w:szCs w:val="1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As Reported 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59"/>
              <w:spacing w:after="0" w:line="130"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vMerge w:val="restart"/>
          </w:tcPr>
          <w:p>
            <w:pPr>
              <w:jc w:val="right"/>
              <w:ind w:right="215"/>
              <w:spacing w:after="0"/>
              <w:rPr>
                <w:sz w:val="20"/>
                <w:szCs w:val="20"/>
                <w:color w:val="auto"/>
              </w:rPr>
            </w:pPr>
            <w:r>
              <w:rPr>
                <w:rFonts w:ascii="Arial" w:cs="Arial" w:eastAsia="Arial" w:hAnsi="Arial"/>
                <w:sz w:val="14"/>
                <w:szCs w:val="14"/>
                <w:b w:val="1"/>
                <w:bCs w:val="1"/>
                <w:color w:val="auto"/>
                <w:w w:val="95"/>
              </w:rPr>
              <w:t>Constant Currency Change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409,428</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764,644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(355,216)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407,775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431,510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113,077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318,433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421,577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308,500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4"/>
              </w:rPr>
              <w:t>Total cash and cash equivalents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840,938</w:t>
            </w:r>
          </w:p>
        </w:tc>
        <w:tc>
          <w:tcPr>
            <w:tcW w:w="380" w:type="dxa"/>
            <w:vAlign w:val="bottom"/>
            <w:gridSpan w:val="2"/>
            <w:vMerge w:val="restart"/>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877,721</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(36,783)</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119"/>
              <w:spacing w:after="0"/>
              <w:rPr>
                <w:sz w:val="20"/>
                <w:szCs w:val="20"/>
                <w:color w:val="auto"/>
              </w:rPr>
            </w:pPr>
            <w:r>
              <w:rPr>
                <w:rFonts w:ascii="Arial" w:cs="Arial" w:eastAsia="Arial" w:hAnsi="Arial"/>
                <w:sz w:val="18"/>
                <w:szCs w:val="18"/>
                <w:color w:val="auto"/>
              </w:rPr>
              <w:t>829,352</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2"/>
        </w:trPr>
        <w:tc>
          <w:tcPr>
            <w:tcW w:w="220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and short-term investments</w:t>
            </w: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120" w:type="dxa"/>
            <w:vAlign w:val="bottom"/>
            <w:tcBorders>
              <w:bottom w:val="single" w:sz="8" w:color="CCEEFF"/>
            </w:tcBorders>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360" w:type="dxa"/>
            <w:vAlign w:val="bottom"/>
            <w:tcBorders>
              <w:bottom w:val="single" w:sz="8" w:color="CCEEFF"/>
            </w:tcBorders>
            <w:gridSpan w:val="2"/>
            <w:vMerge w:val="continue"/>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122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CCEEFF"/>
            </w:tcBorders>
            <w:gridSpan w:val="2"/>
            <w:vMerge w:val="continue"/>
            <w:shd w:val="clear" w:color="auto" w:fill="CCEEFF"/>
          </w:tcPr>
          <w:p>
            <w:pPr>
              <w:spacing w:after="0"/>
              <w:rPr>
                <w:sz w:val="17"/>
                <w:szCs w:val="17"/>
                <w:color w:val="auto"/>
              </w:rPr>
            </w:pPr>
          </w:p>
        </w:tc>
        <w:tc>
          <w:tcPr>
            <w:tcW w:w="1440" w:type="dxa"/>
            <w:vAlign w:val="bottom"/>
            <w:tcBorders>
              <w:bottom w:val="single" w:sz="8" w:color="CCEEFF"/>
            </w:tcBorders>
            <w:vMerge w:val="continue"/>
            <w:shd w:val="clear" w:color="auto" w:fill="CCEEFF"/>
          </w:tcPr>
          <w:p>
            <w:pPr>
              <w:spacing w:after="0"/>
              <w:rPr>
                <w:sz w:val="17"/>
                <w:szCs w:val="17"/>
                <w:color w:val="auto"/>
              </w:rPr>
            </w:pPr>
          </w:p>
        </w:tc>
        <w:tc>
          <w:tcPr>
            <w:tcW w:w="320" w:type="dxa"/>
            <w:vAlign w:val="bottom"/>
            <w:tcBorders>
              <w:bottom w:val="single" w:sz="8" w:color="CCEEFF"/>
            </w:tcBorders>
            <w:gridSpan w:val="2"/>
            <w:vMerge w:val="continue"/>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7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Reported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6"/>
          </w:tcPr>
          <w:p>
            <w:pPr>
              <w:ind w:left="800"/>
              <w:spacing w:after="0"/>
              <w:rPr>
                <w:sz w:val="20"/>
                <w:szCs w:val="20"/>
                <w:color w:val="auto"/>
              </w:rPr>
            </w:pPr>
            <w:r>
              <w:rPr>
                <w:rFonts w:ascii="Arial" w:cs="Arial" w:eastAsia="Arial" w:hAnsi="Arial"/>
                <w:sz w:val="14"/>
                <w:szCs w:val="14"/>
                <w:b w:val="1"/>
                <w:bCs w:val="1"/>
                <w:color w:val="auto"/>
                <w:w w:val="95"/>
              </w:rPr>
              <w:t>As Adjusted for Constant Currency</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gridSpan w:val="4"/>
            <w:vMerge w:val="restart"/>
          </w:tcPr>
          <w:p>
            <w:pPr>
              <w:jc w:val="center"/>
              <w:ind w:right="138"/>
              <w:spacing w:after="0"/>
              <w:rPr>
                <w:sz w:val="20"/>
                <w:szCs w:val="20"/>
                <w:color w:val="auto"/>
              </w:rPr>
            </w:pPr>
            <w:r>
              <w:rPr>
                <w:rFonts w:ascii="Arial" w:cs="Arial" w:eastAsia="Arial" w:hAnsi="Arial"/>
                <w:sz w:val="14"/>
                <w:szCs w:val="14"/>
                <w:b w:val="1"/>
                <w:bCs w:val="1"/>
                <w:color w:val="auto"/>
                <w:w w:val="90"/>
              </w:rPr>
              <w:t>Three months ended June 30,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gridSpan w:val="3"/>
            <w:vMerge w:val="restart"/>
          </w:tcPr>
          <w:p>
            <w:pPr>
              <w:jc w:val="right"/>
              <w:ind w:right="458"/>
              <w:spacing w:after="0"/>
              <w:rPr>
                <w:sz w:val="20"/>
                <w:szCs w:val="20"/>
                <w:color w:val="auto"/>
              </w:rPr>
            </w:pPr>
            <w:r>
              <w:rPr>
                <w:rFonts w:ascii="Arial" w:cs="Arial" w:eastAsia="Arial" w:hAnsi="Arial"/>
                <w:sz w:val="14"/>
                <w:szCs w:val="14"/>
                <w:b w:val="1"/>
                <w:bCs w:val="1"/>
                <w:color w:val="auto"/>
                <w:w w:val="99"/>
              </w:rPr>
              <w:t>As Reported Change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jc w:val="center"/>
              <w:ind w:right="41"/>
              <w:spacing w:after="0" w:line="126" w:lineRule="exact"/>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gridSpan w:val="4"/>
            <w:vMerge w:val="restart"/>
          </w:tcPr>
          <w:p>
            <w:pPr>
              <w:jc w:val="right"/>
              <w:ind w:right="256"/>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Cannabis flower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14,955</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Arial" w:cs="Arial" w:eastAsia="Arial" w:hAnsi="Arial"/>
                <w:sz w:val="18"/>
                <w:szCs w:val="18"/>
                <w:color w:val="auto"/>
              </w:rPr>
              <w:t>Cannabis extracts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320" w:type="dxa"/>
            <w:vAlign w:val="bottom"/>
          </w:tcPr>
          <w:p>
            <w:pPr>
              <w:ind w:left="220"/>
              <w:spacing w:after="0" w:line="204" w:lineRule="exact"/>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20,219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As Reported</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As Adjusted for Constant Currency</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4"/>
            <w:vMerge w:val="restart"/>
          </w:tcPr>
          <w:p>
            <w:pPr>
              <w:jc w:val="center"/>
              <w:ind w:right="138"/>
              <w:spacing w:after="0"/>
              <w:rPr>
                <w:sz w:val="20"/>
                <w:szCs w:val="20"/>
                <w:color w:val="auto"/>
              </w:rPr>
            </w:pPr>
            <w:r>
              <w:rPr>
                <w:rFonts w:ascii="Arial" w:cs="Arial" w:eastAsia="Arial" w:hAnsi="Arial"/>
                <w:sz w:val="14"/>
                <w:szCs w:val="14"/>
                <w:b w:val="1"/>
                <w:bCs w:val="1"/>
                <w:color w:val="auto"/>
                <w:w w:val="89"/>
              </w:rPr>
              <w:t>Six months ended June 30,</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40" w:type="dxa"/>
            <w:vAlign w:val="bottom"/>
            <w:gridSpan w:val="3"/>
            <w:vMerge w:val="restart"/>
          </w:tcPr>
          <w:p>
            <w:pPr>
              <w:jc w:val="right"/>
              <w:ind w:right="458"/>
              <w:spacing w:after="0"/>
              <w:rPr>
                <w:sz w:val="20"/>
                <w:szCs w:val="20"/>
                <w:color w:val="auto"/>
              </w:rPr>
            </w:pPr>
            <w:r>
              <w:rPr>
                <w:rFonts w:ascii="Arial" w:cs="Arial" w:eastAsia="Arial" w:hAnsi="Arial"/>
                <w:sz w:val="14"/>
                <w:szCs w:val="14"/>
                <w:b w:val="1"/>
                <w:bCs w:val="1"/>
                <w:color w:val="auto"/>
                <w:w w:val="99"/>
              </w:rPr>
              <w:t>As Reported 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9"/>
              </w:rPr>
              <w:t>Six months ended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4"/>
            <w:vMerge w:val="restart"/>
          </w:tcPr>
          <w:p>
            <w:pPr>
              <w:jc w:val="right"/>
              <w:ind w:right="256"/>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Cannabis flower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29,158</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Arial" w:cs="Arial" w:eastAsia="Arial" w:hAnsi="Arial"/>
                <w:sz w:val="18"/>
                <w:szCs w:val="18"/>
                <w:color w:val="auto"/>
              </w:rPr>
              <w:t>Cannabis extracts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11,909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5"/>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6"/>
        </w:trPr>
        <w:tc>
          <w:tcPr>
            <w:tcW w:w="232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41,223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0"/>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800"/>
              <w:spacing w:after="0"/>
              <w:rPr>
                <w:sz w:val="20"/>
                <w:szCs w:val="20"/>
                <w:color w:val="auto"/>
              </w:rPr>
            </w:pPr>
            <w:r>
              <w:rPr>
                <w:rFonts w:ascii="Arial" w:cs="Arial" w:eastAsia="Arial" w:hAnsi="Arial"/>
                <w:sz w:val="14"/>
                <w:szCs w:val="14"/>
                <w:b w:val="1"/>
                <w:bCs w:val="1"/>
                <w:color w:val="auto"/>
                <w:w w:val="95"/>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4"/>
            <w:vMerge w:val="restart"/>
          </w:tcPr>
          <w:p>
            <w:pPr>
              <w:jc w:val="center"/>
              <w:ind w:right="138"/>
              <w:spacing w:after="0"/>
              <w:rPr>
                <w:sz w:val="20"/>
                <w:szCs w:val="20"/>
                <w:color w:val="auto"/>
              </w:rPr>
            </w:pPr>
            <w:r>
              <w:rPr>
                <w:rFonts w:ascii="Arial" w:cs="Arial" w:eastAsia="Arial" w:hAnsi="Arial"/>
                <w:sz w:val="14"/>
                <w:szCs w:val="14"/>
                <w:b w:val="1"/>
                <w:bCs w:val="1"/>
                <w:color w:val="auto"/>
                <w:w w:val="90"/>
              </w:rPr>
              <w:t>Three months ended June 30,</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40" w:type="dxa"/>
            <w:vAlign w:val="bottom"/>
            <w:gridSpan w:val="3"/>
            <w:vMerge w:val="restart"/>
          </w:tcPr>
          <w:p>
            <w:pPr>
              <w:jc w:val="right"/>
              <w:ind w:right="458"/>
              <w:spacing w:after="0"/>
              <w:rPr>
                <w:sz w:val="20"/>
                <w:szCs w:val="20"/>
                <w:color w:val="auto"/>
              </w:rPr>
            </w:pPr>
            <w:r>
              <w:rPr>
                <w:rFonts w:ascii="Arial" w:cs="Arial" w:eastAsia="Arial" w:hAnsi="Arial"/>
                <w:sz w:val="14"/>
                <w:szCs w:val="14"/>
                <w:b w:val="1"/>
                <w:bCs w:val="1"/>
                <w:color w:val="auto"/>
                <w:w w:val="99"/>
              </w:rPr>
              <w:t>As Reported 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1"/>
              <w:spacing w:after="0" w:line="130" w:lineRule="exact"/>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4"/>
            <w:vMerge w:val="restart"/>
          </w:tcPr>
          <w:p>
            <w:pPr>
              <w:jc w:val="right"/>
              <w:ind w:right="256"/>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14,293</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Israel</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5,926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20,219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800"/>
              <w:spacing w:after="0"/>
              <w:rPr>
                <w:sz w:val="20"/>
                <w:szCs w:val="20"/>
                <w:color w:val="auto"/>
              </w:rPr>
            </w:pPr>
            <w:r>
              <w:rPr>
                <w:rFonts w:ascii="Arial" w:cs="Arial" w:eastAsia="Arial" w:hAnsi="Arial"/>
                <w:sz w:val="14"/>
                <w:szCs w:val="14"/>
                <w:b w:val="1"/>
                <w:bCs w:val="1"/>
                <w:color w:val="auto"/>
                <w:w w:val="95"/>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gridSpan w:val="4"/>
            <w:vMerge w:val="restart"/>
          </w:tcPr>
          <w:p>
            <w:pPr>
              <w:jc w:val="center"/>
              <w:ind w:right="138"/>
              <w:spacing w:after="0"/>
              <w:rPr>
                <w:sz w:val="20"/>
                <w:szCs w:val="20"/>
                <w:color w:val="auto"/>
              </w:rPr>
            </w:pPr>
            <w:r>
              <w:rPr>
                <w:rFonts w:ascii="Arial" w:cs="Arial" w:eastAsia="Arial" w:hAnsi="Arial"/>
                <w:sz w:val="14"/>
                <w:szCs w:val="14"/>
                <w:b w:val="1"/>
                <w:bCs w:val="1"/>
                <w:color w:val="auto"/>
                <w:w w:val="89"/>
              </w:rPr>
              <w:t>Six months ended June 30,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gridSpan w:val="3"/>
            <w:vMerge w:val="restart"/>
          </w:tcPr>
          <w:p>
            <w:pPr>
              <w:jc w:val="right"/>
              <w:ind w:right="458"/>
              <w:spacing w:after="0"/>
              <w:rPr>
                <w:sz w:val="20"/>
                <w:szCs w:val="20"/>
                <w:color w:val="auto"/>
              </w:rPr>
            </w:pPr>
            <w:r>
              <w:rPr>
                <w:rFonts w:ascii="Arial" w:cs="Arial" w:eastAsia="Arial" w:hAnsi="Arial"/>
                <w:sz w:val="14"/>
                <w:szCs w:val="14"/>
                <w:b w:val="1"/>
                <w:bCs w:val="1"/>
                <w:color w:val="auto"/>
                <w:w w:val="99"/>
              </w:rPr>
              <w:t>As Reported Change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jc w:val="center"/>
              <w:ind w:right="41"/>
              <w:spacing w:after="0" w:line="126" w:lineRule="exact"/>
              <w:rPr>
                <w:sz w:val="20"/>
                <w:szCs w:val="20"/>
                <w:color w:val="auto"/>
              </w:rPr>
            </w:pPr>
            <w:r>
              <w:rPr>
                <w:rFonts w:ascii="Arial" w:cs="Arial" w:eastAsia="Arial" w:hAnsi="Arial"/>
                <w:sz w:val="14"/>
                <w:szCs w:val="14"/>
                <w:b w:val="1"/>
                <w:bCs w:val="1"/>
                <w:color w:val="auto"/>
                <w:w w:val="89"/>
              </w:rPr>
              <w:t>Six months ended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gridSpan w:val="4"/>
            <w:vMerge w:val="restart"/>
          </w:tcPr>
          <w:p>
            <w:pPr>
              <w:jc w:val="right"/>
              <w:ind w:right="256"/>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27,965</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29,701</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5"/>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Israel</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11,522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38,516</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41,223</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For the three months ended June 30, 2023, net revenue on a constant currency basis was $20.2 million, representing a 6% decrease from the three months ended June 30, 2022. For the six months ended June 30, 2023, net revenue on a constant currency basis was $41.2 million, representing a 7% decrease from the six months ended June 30, 2022. On a constant currency basis, net revenue decreased for the three and six months ended June 30, 2023 primarily due to lower cannabis flower sales in Israel due to competitive activity, the slowdown in patient permit authorizations and geopolitical unrest, and an adverse price/mix in Canada in the cannabis flower category driving increased excise tax payments as a percentage of revenue.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three months ended June 30, 2023, gross profit on a constant currency basis was $3.3 million, representing a 23% decrease from the three months ended June 30, 2022. For the six months ended June 30, 2023, gross profit on a constant currency basis was $6.5 million, representing a 41% decrease from the six months ended June 30, 2022. On a constant currency basis, gross profit decreased for the three and six months ended June 30, 2023 primarily due to lower cannabis flower sales in the Israeli medical market and adverse price/mix on cannabis flower sales in Canada resulting in higher excise taxes as a percentage of revenue.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For the three months ended June 30, 2023, operating expenses on a constant currency basis were $25.2 million, representing a 15% decrease from the three months ended June 30, 2022. For the six months ended June 30, 2023, operating expenses on a constant currency basis were $50.6 million, representing a 26% decrease from the six months ended June 30, 2022. On a constant currency basis, operating expenses decreased for the three and six months ended June 30, 2023, primarily due to lower professional fees, largely related to financial statement review costs, lower bonus expense, lower insurance costs, lower costs associated with the achievement of Ginkgo milestones and impairment loss on long-lived assets recognized in the prior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2023, net loss on a constant currency basis was $6.7 million, representing a 62% reduction in net loss from the three months ended June 30, 2022. For the six months ended June 30, 2023, net loss on a constant currency basis was $25.7 million, representing a 44% reduction in net loss from the six months ended June 30,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For the three months ended June 30, 2023, Adjusted EBITDA on a constant currency basis was $(17.0) million, representing a 2% decrease from the three months ended June 30, 2022. For the six months ended June 30, 2023, Adjusted EBITDA on a constant currency basis was $(33.9) million, representing a 6% decrease from the six months ended June 30, 2022. The decrease in Adjusted EBITDA for the three and six months ended June 30, 2023 on a constant currency basis was primarily driven by lower cannabis flower sales in the Israeli medical market and adverse price/mix on cannabis flower sales in Canada resulting in higher excise taxes as a percentage of revenue, partially offset by decreases in general and administrative expenses due primarily to lower bonus expense, insurance costs and professional fees as well as lower costs associated with the achievement of Ginkgo milestones.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and short-term investments on a constant currency basis decreased 6% to $829.4 million as of June 30, 2023 from $877.7 million as of December 31, 2022. The decrease in cash and cash equivalents and short-term investments is primarily due to cash flows used in operating activities in the six months ended June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we had $409.4 million in cash and cash equivalents and $431.5 million in short-term investments. We believe that the existing cash and cash equivalents and short-term investments will be sufficient to fund the business operations and capital expenditures over the next twelve months. The following table summarizes the cash flows from operating, investing and financing activities: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520" w:type="dxa"/>
            <w:vAlign w:val="bottom"/>
          </w:tcPr>
          <w:p>
            <w:pPr>
              <w:spacing w:after="0"/>
              <w:rPr>
                <w:sz w:val="15"/>
                <w:szCs w:val="15"/>
                <w:color w:val="auto"/>
              </w:rPr>
            </w:pPr>
          </w:p>
        </w:tc>
        <w:tc>
          <w:tcPr>
            <w:tcW w:w="374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Six months ended June 30, 2023</w:t>
            </w:r>
          </w:p>
        </w:tc>
      </w:tr>
      <w:tr>
        <w:trPr>
          <w:trHeight w:val="24"/>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8"/>
        </w:trPr>
        <w:tc>
          <w:tcPr>
            <w:tcW w:w="69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2022</w:t>
            </w:r>
          </w:p>
        </w:tc>
      </w:tr>
      <w:tr>
        <w:trPr>
          <w:trHeight w:val="233"/>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flows used in operating activities</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(59,467)</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(51,191)</w:t>
            </w:r>
          </w:p>
        </w:tc>
      </w:tr>
      <w:tr>
        <w:trPr>
          <w:trHeight w:val="225"/>
        </w:trPr>
        <w:tc>
          <w:tcPr>
            <w:tcW w:w="6980" w:type="dxa"/>
            <w:vAlign w:val="bottom"/>
          </w:tcPr>
          <w:p>
            <w:pPr>
              <w:ind w:left="220"/>
              <w:spacing w:after="0"/>
              <w:rPr>
                <w:sz w:val="20"/>
                <w:szCs w:val="20"/>
                <w:color w:val="auto"/>
              </w:rPr>
            </w:pPr>
            <w:r>
              <w:rPr>
                <w:rFonts w:ascii="Arial" w:cs="Arial" w:eastAsia="Arial" w:hAnsi="Arial"/>
                <w:sz w:val="18"/>
                <w:szCs w:val="18"/>
                <w:color w:val="auto"/>
              </w:rPr>
              <w:t>Cash flows used in investing activities</w:t>
            </w:r>
          </w:p>
        </w:tc>
        <w:tc>
          <w:tcPr>
            <w:tcW w:w="5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(298,964)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(40,321)</w:t>
            </w:r>
          </w:p>
        </w:tc>
      </w:tr>
      <w:tr>
        <w:trPr>
          <w:trHeight w:val="22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flows used in financing activities</w:t>
            </w:r>
          </w:p>
        </w:tc>
        <w:tc>
          <w:tcPr>
            <w:tcW w:w="5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38"/>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r>
      <w:tr>
        <w:trPr>
          <w:trHeight w:val="23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100"/>
        <w:spacing w:after="0" w:line="368" w:lineRule="auto"/>
        <w:rPr>
          <w:sz w:val="20"/>
          <w:szCs w:val="20"/>
          <w:color w:val="auto"/>
        </w:rPr>
      </w:pPr>
      <w:r>
        <w:rPr>
          <w:rFonts w:ascii="Arial" w:cs="Arial" w:eastAsia="Arial" w:hAnsi="Arial"/>
          <w:sz w:val="18"/>
          <w:szCs w:val="18"/>
          <w:b w:val="1"/>
          <w:bCs w:val="1"/>
          <w:i w:val="1"/>
          <w:iCs w:val="1"/>
          <w:color w:val="auto"/>
        </w:rPr>
        <w:t xml:space="preserve">Comparison of cash flows between the six months ended June 30, 2023 and the six months ended June 30, 2022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six months ended June 30, 2023, we used $59.5 million of cash in operating activities as compared to cash used of $51.2 million in the six months ended June 30, 2022, representing an increase in cash used of $8.3 million. This change is primarily driven by a $32.8 million decrease in income taxes payable as a result of a tax payment connected to the previously disclosed relinquishment by Altria of its warrant to purchase additional shares of the Company and a $6.8 million increase in interest receivable, partially offset by a $28.6 million increase in net income after adjusting for non-cash items during the six months ended June 30, 2023 compared to the six months ended June 30,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2023, we used $299.0 million of cash in investing activities, compared to $40.3 million of cash used in investing activities during the six months ended June 30, 2022, representing an increase of $258.6 million in cash used by investing activities. This change is primarily driven by purchases of short-term investments in the six months ended June 30, 2023.</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six months ended June 30, 2023, cash used in financing activities was $0.8 million, compared to $2.0 million of cash used in financing activities during six months ended June 30, 2022, representing a decrease of $1.3 million in cash used in financing activities. This change is primarily driven by a decrease of $1.3 million in withholding taxes paid on share-based awards during six months ended June 30, 2023 compared to six months ended June 30,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requirements have not changed significantly since the filing of the Annual Report.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critical accounting policies and estimates are discussed in Item 7, “Management’s Discussion and Analysis of Financial Condition and Results of Operations” in our Annual Report. Our critical accounting policies and estimates have not changed significantly since the filing of the Annual Report.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certain market risks, including changes from foreign currency exchange rates related to our international operations. Except as updated below, the Company’s market risks have not changed significantly from the market risk disclosed in Item 7A, “Quantitative and Qualitative Disclosures About Market Risk” in our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condensed consolidated financial statements included in Part I, Item 1. “Financial Statements” of this Quarterly Report are expressed in U.S. dollars. The Company is exposed to foreign currency risk based on its net assets, liabilities, and revenues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Appreciating foreign currencies relative to the U.S. dollar will positively impact operating income and net earnings, while depreciating foreign currencies relative to the U.S. dollar will have an adverse impact.</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 10% change in the exchange rates for the Canadian dollar would have affected the carrying amount of the net assets by approximately $76.9 million and $77.4 million as of June 30, 2023 and December 31, 2022,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the Company’s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and six months ended June 30, 2023, the Company had foreign currency gain on translation of $16.6 million and $19.0 million,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and six months ended June 30, 2022 the Company had foreign currency loss on translation of $24.2 million and $8.2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ind w:left="640" w:hanging="634"/>
        <w:spacing w:after="0"/>
        <w:tabs>
          <w:tab w:leader="none" w:pos="6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June 30, 2023. Based on that evaluation, management has concluded that, as of June 30, 2023, due to the existence of a material weakness in the Company’s internal control over financial reporting described below, the disclosure controls and procedures were not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Controls Over Financial Reporting</w:t>
      </w:r>
    </w:p>
    <w:p>
      <w:pPr>
        <w:spacing w:after="0" w:line="11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previously disclosed in the Company’s Annual Report on Form 10-K for the year ended December 31, 2022 (the “Annual Report”), we have identified the following material weakness:</w:t>
      </w:r>
    </w:p>
    <w:p>
      <w:pPr>
        <w:spacing w:after="0" w:line="25"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ITGCs - User Access</w:t>
      </w:r>
      <w:r>
        <w:rPr>
          <w:rFonts w:ascii="Arial" w:cs="Arial" w:eastAsia="Arial" w:hAnsi="Arial"/>
          <w:sz w:val="18"/>
          <w:szCs w:val="18"/>
          <w:b w:val="1"/>
          <w:bCs w:val="1"/>
          <w:color w:val="auto"/>
        </w:rPr>
        <w:t>:</w:t>
      </w:r>
    </w:p>
    <w:p>
      <w:pPr>
        <w:spacing w:after="0" w:line="1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did not design and maintain effective controls over Information Technology General Controls (“ITGC”), pertaining to user access management and the provisioning and monitoring of user access, including privileged access. We believe this weakness to be the result of ineffective monitoring of security administrator activities, insufficient retention of documentation to support access requests and lack of training on the importance of ITGC. This material weakness did not impact any information derived from information systems and did not result in any identified misstatements to our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 and Status</w:t>
      </w:r>
    </w:p>
    <w:p>
      <w:pPr>
        <w:spacing w:after="0" w:line="98" w:lineRule="exact"/>
        <w:rPr>
          <w:sz w:val="20"/>
          <w:szCs w:val="20"/>
          <w:color w:val="auto"/>
        </w:rPr>
      </w:pPr>
    </w:p>
    <w:p>
      <w:pPr>
        <w:jc w:val="both"/>
        <w:ind w:right="220"/>
        <w:spacing w:after="0" w:line="234" w:lineRule="auto"/>
        <w:rPr>
          <w:sz w:val="20"/>
          <w:szCs w:val="20"/>
          <w:color w:val="auto"/>
        </w:rPr>
      </w:pPr>
      <w:r>
        <w:rPr>
          <w:rFonts w:ascii="Arial" w:cs="Arial" w:eastAsia="Arial" w:hAnsi="Arial"/>
          <w:sz w:val="18"/>
          <w:szCs w:val="18"/>
          <w:color w:val="auto"/>
        </w:rPr>
        <w:t>As discussed above, we have identified a material weakness related to ITGCs in user access management and the provisioning and monitoring of privileged access. As of the filing date, the Company is in the process of implementing various initiatives intended to address the identified material weakness. In this regard, some of our key remedial initiatives include:</w:t>
      </w:r>
    </w:p>
    <w:p>
      <w:pPr>
        <w:sectPr>
          <w:pgSz w:w="11900" w:h="16838" w:orient="portrait"/>
          <w:cols w:equalWidth="0" w:num="1">
            <w:col w:w="11240"/>
          </w:cols>
          <w:pgMar w:left="320" w:top="127" w:right="339" w:bottom="1440" w:gutter="0" w:footer="0" w:header="0"/>
        </w:sectPr>
      </w:pPr>
    </w:p>
    <w:p>
      <w:pPr>
        <w:spacing w:after="0" w:line="249" w:lineRule="exact"/>
        <w:rPr>
          <w:sz w:val="20"/>
          <w:szCs w:val="20"/>
          <w:color w:val="auto"/>
        </w:rPr>
      </w:pPr>
    </w:p>
    <w:p>
      <w:pPr>
        <w:ind w:left="60"/>
        <w:spacing w:after="0"/>
        <w:tabs>
          <w:tab w:leader="none" w:pos="3100" w:val="left"/>
        </w:tabs>
        <w:rPr>
          <w:sz w:val="20"/>
          <w:szCs w:val="20"/>
          <w:color w:val="auto"/>
        </w:rPr>
      </w:pPr>
      <w:r>
        <w:rPr>
          <w:rFonts w:ascii="Arial" w:cs="Arial" w:eastAsia="Arial" w:hAnsi="Arial"/>
          <w:sz w:val="14"/>
          <w:szCs w:val="14"/>
          <w:b w:val="1"/>
          <w:bCs w:val="1"/>
          <w:color w:val="auto"/>
        </w:rPr>
        <w:t>Material Weakness</w:t>
      </w:r>
      <w:r>
        <w:rPr>
          <w:sz w:val="20"/>
          <w:szCs w:val="20"/>
          <w:color w:val="auto"/>
        </w:rPr>
        <w:tab/>
      </w:r>
      <w:r>
        <w:rPr>
          <w:rFonts w:ascii="Arial" w:cs="Arial" w:eastAsia="Arial" w:hAnsi="Arial"/>
          <w:sz w:val="11"/>
          <w:szCs w:val="11"/>
          <w:b w:val="1"/>
          <w:bCs w:val="1"/>
          <w:color w:val="auto"/>
        </w:rPr>
        <w:t>Control, Control Enhancement or Mitigant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4686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118" w:lineRule="exact"/>
        <w:rPr>
          <w:sz w:val="20"/>
          <w:szCs w:val="20"/>
          <w:color w:val="auto"/>
        </w:rPr>
      </w:pPr>
    </w:p>
    <w:p>
      <w:pPr>
        <w:ind w:left="1700" w:hanging="309"/>
        <w:spacing w:after="0"/>
        <w:tabs>
          <w:tab w:leader="none" w:pos="17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Train security administrators on access provisioning and approval protocols.</w:t>
      </w:r>
    </w:p>
    <w:p>
      <w:pPr>
        <w:spacing w:after="0" w:line="172" w:lineRule="exact"/>
        <w:rPr>
          <w:rFonts w:ascii="Arial" w:cs="Arial" w:eastAsia="Arial" w:hAnsi="Arial"/>
          <w:sz w:val="15"/>
          <w:szCs w:val="15"/>
          <w:color w:val="auto"/>
        </w:rPr>
      </w:pPr>
    </w:p>
    <w:p>
      <w:pPr>
        <w:ind w:left="1700" w:right="300" w:hanging="309"/>
        <w:spacing w:after="0" w:line="229"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Align approval requirements for all privileged access for consistency and appropriate visibility within the IT function.</w:t>
      </w:r>
    </w:p>
    <w:p>
      <w:pPr>
        <w:spacing w:after="0" w:line="29" w:lineRule="exact"/>
        <w:rPr>
          <w:rFonts w:ascii="Arial" w:cs="Arial" w:eastAsia="Arial" w:hAnsi="Arial"/>
          <w:sz w:val="18"/>
          <w:szCs w:val="18"/>
          <w:color w:val="auto"/>
        </w:rPr>
      </w:pPr>
    </w:p>
    <w:p>
      <w:pPr>
        <w:ind w:left="1700" w:hanging="309"/>
        <w:spacing w:after="0"/>
        <w:tabs>
          <w:tab w:leader="none" w:pos="17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Implement a process to identify instances where privileged access roles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-387350</wp:posOffset>
            </wp:positionV>
            <wp:extent cx="3819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1952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-118110</wp:posOffset>
            </wp:positionV>
            <wp:extent cx="3819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15"/>
          <w:szCs w:val="15"/>
          <w:color w:val="auto"/>
        </w:rPr>
        <w:t>ITGCs</w:t>
      </w:r>
      <w:r>
        <w:rPr>
          <w:sz w:val="20"/>
          <w:szCs w:val="20"/>
          <w:color w:val="auto"/>
        </w:rPr>
        <w:tab/>
      </w:r>
      <w:r>
        <w:rPr>
          <w:rFonts w:ascii="Arial" w:cs="Arial" w:eastAsia="Arial" w:hAnsi="Arial"/>
          <w:sz w:val="15"/>
          <w:szCs w:val="15"/>
          <w:color w:val="auto"/>
        </w:rPr>
        <w:t>profiles are assigned and, when identified, review activities performed during</w:t>
      </w:r>
    </w:p>
    <w:p>
      <w:pPr>
        <w:ind w:left="1700"/>
        <w:spacing w:after="0"/>
        <w:rPr>
          <w:sz w:val="20"/>
          <w:szCs w:val="20"/>
          <w:color w:val="auto"/>
        </w:rPr>
      </w:pPr>
      <w:r>
        <w:rPr>
          <w:rFonts w:ascii="Arial" w:cs="Arial" w:eastAsia="Arial" w:hAnsi="Arial"/>
          <w:sz w:val="18"/>
          <w:szCs w:val="18"/>
          <w:color w:val="auto"/>
        </w:rPr>
        <w:t>the period of assigned privileged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10795</wp:posOffset>
            </wp:positionV>
            <wp:extent cx="3819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11" w:lineRule="exact"/>
        <w:rPr>
          <w:sz w:val="20"/>
          <w:szCs w:val="20"/>
          <w:color w:val="auto"/>
        </w:rPr>
      </w:pPr>
    </w:p>
    <w:p>
      <w:pPr>
        <w:ind w:left="1700" w:right="180" w:hanging="309"/>
        <w:spacing w:after="0" w:line="23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 a periodic control to compare each user’s system access to their responsibilities.</w:t>
      </w:r>
    </w:p>
    <w:p>
      <w:pPr>
        <w:spacing w:after="0" w:line="107" w:lineRule="exact"/>
        <w:rPr>
          <w:rFonts w:ascii="Arial" w:cs="Arial" w:eastAsia="Arial" w:hAnsi="Arial"/>
          <w:sz w:val="18"/>
          <w:szCs w:val="18"/>
          <w:color w:val="auto"/>
        </w:rPr>
      </w:pPr>
    </w:p>
    <w:p>
      <w:pPr>
        <w:ind w:left="1700" w:hanging="309"/>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 an oversight control over security administrator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-198755</wp:posOffset>
            </wp:positionV>
            <wp:extent cx="3819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19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69850</wp:posOffset>
            </wp:positionV>
            <wp:extent cx="4686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86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Implementation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Management</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Testing Status</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73"/>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Completed</w:t>
            </w: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79"/>
              </w:rPr>
              <w:t>Tested</w:t>
            </w:r>
          </w:p>
        </w:tc>
        <w:tc>
          <w:tcPr>
            <w:tcW w:w="80" w:type="dxa"/>
            <w:vAlign w:val="bottom"/>
          </w:tcPr>
          <w:p>
            <w:pPr>
              <w:spacing w:after="0"/>
              <w:rPr>
                <w:sz w:val="15"/>
                <w:szCs w:val="15"/>
                <w:color w:val="auto"/>
              </w:rPr>
            </w:pPr>
          </w:p>
        </w:tc>
        <w:tc>
          <w:tcPr>
            <w:tcW w:w="1180" w:type="dxa"/>
            <w:vAlign w:val="bottom"/>
          </w:tcPr>
          <w:p>
            <w:pPr>
              <w:jc w:val="center"/>
              <w:spacing w:after="0" w:line="173" w:lineRule="exact"/>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Remediated</w:t>
            </w:r>
          </w:p>
        </w:tc>
        <w:tc>
          <w:tcPr>
            <w:tcW w:w="0" w:type="dxa"/>
            <w:vAlign w:val="bottom"/>
          </w:tcPr>
          <w:p>
            <w:pPr>
              <w:spacing w:after="0"/>
              <w:rPr>
                <w:sz w:val="1"/>
                <w:szCs w:val="1"/>
                <w:color w:val="auto"/>
              </w:rPr>
            </w:pPr>
          </w:p>
        </w:tc>
      </w:tr>
      <w:tr>
        <w:trPr>
          <w:trHeight w:val="100"/>
        </w:trPr>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Completed</w:t>
            </w: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79"/>
              </w:rPr>
              <w:t>Tested</w:t>
            </w:r>
          </w:p>
        </w:tc>
        <w:tc>
          <w:tcPr>
            <w:tcW w:w="80" w:type="dxa"/>
            <w:vAlign w:val="bottom"/>
          </w:tcPr>
          <w:p>
            <w:pPr>
              <w:spacing w:after="0"/>
              <w:rPr>
                <w:sz w:val="15"/>
                <w:szCs w:val="15"/>
                <w:color w:val="auto"/>
              </w:rPr>
            </w:pPr>
          </w:p>
        </w:tc>
        <w:tc>
          <w:tcPr>
            <w:tcW w:w="1180" w:type="dxa"/>
            <w:vAlign w:val="bottom"/>
          </w:tcPr>
          <w:p>
            <w:pPr>
              <w:jc w:val="center"/>
              <w:spacing w:after="0" w:line="173" w:lineRule="exact"/>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Remediated</w:t>
            </w:r>
          </w:p>
        </w:tc>
        <w:tc>
          <w:tcPr>
            <w:tcW w:w="0" w:type="dxa"/>
            <w:vAlign w:val="bottom"/>
          </w:tcPr>
          <w:p>
            <w:pPr>
              <w:spacing w:after="0"/>
              <w:rPr>
                <w:sz w:val="1"/>
                <w:szCs w:val="1"/>
                <w:color w:val="auto"/>
              </w:rPr>
            </w:pPr>
          </w:p>
        </w:tc>
      </w:tr>
      <w:tr>
        <w:trPr>
          <w:trHeight w:val="100"/>
        </w:trPr>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Completed</w:t>
            </w:r>
          </w:p>
        </w:tc>
        <w:tc>
          <w:tcPr>
            <w:tcW w:w="100" w:type="dxa"/>
            <w:vAlign w:val="bottom"/>
          </w:tcPr>
          <w:p>
            <w:pPr>
              <w:spacing w:after="0"/>
              <w:rPr>
                <w:sz w:val="23"/>
                <w:szCs w:val="23"/>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6"/>
              </w:rPr>
              <w:t>In Progress</w:t>
            </w:r>
          </w:p>
        </w:tc>
        <w:tc>
          <w:tcPr>
            <w:tcW w:w="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144"/>
        </w:trPr>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Remediated</w:t>
            </w: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Completed</w:t>
            </w: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6"/>
              </w:rPr>
              <w:t>In Progress</w:t>
            </w: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Remediated</w:t>
            </w: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6"/>
              </w:rPr>
              <w:t>In Progress</w:t>
            </w: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6"/>
              </w:rPr>
              <w:t>Not Tested</w:t>
            </w: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Remediated</w:t>
            </w: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2">
            <w:col w:w="7180" w:space="300"/>
            <w:col w:w="3760"/>
          </w:cols>
          <w:pgMar w:left="320" w:top="127" w:right="339" w:bottom="1440" w:gutter="0" w:footer="0" w:header="0"/>
          <w:type w:val="continuous"/>
        </w:sectPr>
      </w:pPr>
    </w:p>
    <w:p>
      <w:pPr>
        <w:ind w:left="640" w:hanging="634"/>
        <w:spacing w:after="0"/>
        <w:tabs>
          <w:tab w:leader="none" w:pos="64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11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Other than the material weakness identified above and measures described above to remediate such material weakness, there were no changes in the Company’s internal control over financial reporting (as defined in Rules 13a-15(f) and 15d-15(f) under the Exchange Act), that occurred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4" w:name="page45"/>
    <w:bookmarkEnd w:id="44"/>
    <w:p>
      <w:pPr>
        <w:ind w:left="9980"/>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set forth under 11(b), Contingencies, to the Company’s condensed consolidated interim financial statements included in Part I, Item 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is incorporated herein by reference.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An investment in us involves a number of risks. A detailed discussion of our risk factors appears in Part I, Item 1A. Risk Factors of the Annual Report. Any of the matters highlighted in the risk factors described in the Annual Report could adversely affect our business, results of operations and financial condition, causing an investor to lose all, or part of, its, his or her investment. The risks and uncertainties described in the Annual Report are those we currently believe to be material, but they are not the only ones we face. If any of the risks described in the Annual Report,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three months ended June 30, 2023,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of our officers or directors have made,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2.05 Costs Associated with Exit or Disposal Activities.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August 4, 2023, the Company’s Board of Directors (the “Board”) approved plans to wind-down operations at its Winnipeg, Manitoba facility (“Cronos Fermentation”), and list the Cronos Fermentation facility for sale. The Company expects to incur approximately $1.2 million in restructuring costs associated with the exit of Cronos Fermentation facility. These charges include employee-related costs such as severance, relocation and other termination benefits, as well as contract termination and other related costs, which are expected to be incurred primarily in the second half of 2023, but do not include any impairment charges to property, plant or equipment. These anticipated charges are subject to a number of assumptions, including the ability to wind down Cronos Fermentation efficiently and effectively, the length of the sales process, the bids received in the sale process, market factors and others. As a result of these assumptions, actual results may differ materially. The Company cannot, at this time, quantify the impairment charges, if any, to long-lived assets associated with the wind-down of Cronos Fermentation.</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Also on August 4, 2023, the Board approved additional organization-wide cost reductions. Expected restructuring costs of approximately $2.0 million, with the majority expected to be incurred in the second half of 2023, include mostly one-time employee-related severance charges. These anticipated costs are subject to a number of assumptions, including the ability of the Company to</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effectively and efficiently further streamline operations, the number of employee reductions, the timing of employee reductions, the level of the Company’s operations, market factors and others. As a result of these assumptions, actual results may differ materially.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2.06 Material Impairments.</w:t>
      </w:r>
    </w:p>
    <w:p>
      <w:pPr>
        <w:spacing w:after="0" w:line="13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The information disclosed above under Item 2.05 is hereby incorporated by reference. The Company cannot, at this time, quantify the impairment charges, if any, to long-lived assets associated with the wind-down of Cronos Fermentation.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exhibits listed in the Exhibit Index immediately below are filed as part of this Quarterly Report, which Exhibit Index is corporate by reference herein.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380" w:type="dxa"/>
            <w:vAlign w:val="bottom"/>
            <w:gridSpan w:val="5"/>
            <w:vMerge w:val="restart"/>
          </w:tcPr>
          <w:p>
            <w:pPr>
              <w:ind w:left="3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3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center"/>
              <w:spacing w:after="0" w:line="179" w:lineRule="exact"/>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15"/>
                <w:szCs w:val="15"/>
                <w:color w:val="auto"/>
              </w:rPr>
            </w:pPr>
          </w:p>
        </w:tc>
        <w:tc>
          <w:tcPr>
            <w:tcW w:w="9720" w:type="dxa"/>
            <w:vAlign w:val="bottom"/>
            <w:tcBorders>
              <w:bottom w:val="single" w:sz="8" w:color="0000FF"/>
            </w:tcBorders>
            <w:gridSpan w:val="6"/>
          </w:tcPr>
          <w:p>
            <w:pPr>
              <w:spacing w:after="0" w:line="179"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Certificate of Continuance, Notice of Articles and Articles of Cronos Group Inc. (incorporated by reference to Exhibit 3.1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40" w:type="dxa"/>
            <w:vAlign w:val="bottom"/>
            <w:tcBorders>
              <w:bottom w:val="single" w:sz="8" w:color="0000FF"/>
            </w:tcBorders>
            <w:gridSpan w:val="2"/>
          </w:tcPr>
          <w:p>
            <w:pPr>
              <w:spacing w:after="0" w:line="152" w:lineRule="exact"/>
              <w:rPr>
                <w:rFonts w:ascii="Arial" w:cs="Arial" w:eastAsia="Arial" w:hAnsi="Arial"/>
                <w:sz w:val="17"/>
                <w:szCs w:val="17"/>
                <w:color w:val="0000FF"/>
                <w:w w:val="95"/>
              </w:rPr>
            </w:pPr>
            <w:hyperlink r:id="rId74">
              <w:r>
                <w:rPr>
                  <w:rFonts w:ascii="Arial" w:cs="Arial" w:eastAsia="Arial" w:hAnsi="Arial"/>
                  <w:sz w:val="17"/>
                  <w:szCs w:val="17"/>
                  <w:color w:val="0000FF"/>
                  <w:w w:val="95"/>
                </w:rPr>
                <w:t>Quarterly Report on Form 10-Q of Cronos Group Inc., filed August 6, 2020).</w:t>
              </w:r>
            </w:hyperlink>
          </w:p>
        </w:tc>
        <w:tc>
          <w:tcPr>
            <w:tcW w:w="4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40" w:type="dxa"/>
            <w:vAlign w:val="bottom"/>
          </w:tcPr>
          <w:p>
            <w:pPr>
              <w:jc w:val="center"/>
              <w:spacing w:after="0" w:line="205" w:lineRule="exact"/>
              <w:rPr>
                <w:sz w:val="20"/>
                <w:szCs w:val="20"/>
                <w:color w:val="auto"/>
              </w:rPr>
            </w:pPr>
            <w:r>
              <w:rPr>
                <w:rFonts w:ascii="Arial" w:cs="Arial" w:eastAsia="Arial" w:hAnsi="Arial"/>
                <w:sz w:val="18"/>
                <w:szCs w:val="18"/>
                <w:color w:val="auto"/>
                <w:w w:val="90"/>
              </w:rPr>
              <w:t>31.1*</w:t>
            </w:r>
          </w:p>
        </w:tc>
        <w:tc>
          <w:tcPr>
            <w:tcW w:w="3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2"/>
              </w:rPr>
              <w:t>Certification of the Principal Executive Officer pursuant to Rules 13a-14(a) and 15d-14(a) of the Securities Exchange Act of 1934, as</w:t>
            </w: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40" w:type="dxa"/>
            <w:vAlign w:val="bottom"/>
            <w:tcBorders>
              <w:bottom w:val="single" w:sz="8" w:color="0000FF"/>
            </w:tcBorders>
            <w:gridSpan w:val="3"/>
          </w:tcPr>
          <w:p>
            <w:pPr>
              <w:spacing w:after="0" w:line="165" w:lineRule="exact"/>
              <w:rPr>
                <w:sz w:val="20"/>
                <w:szCs w:val="20"/>
                <w:color w:val="auto"/>
              </w:rPr>
            </w:pPr>
            <w:r>
              <w:rPr>
                <w:rFonts w:ascii="Arial" w:cs="Arial" w:eastAsia="Arial" w:hAnsi="Arial"/>
                <w:sz w:val="18"/>
                <w:szCs w:val="18"/>
                <w:color w:val="0000FF"/>
                <w:w w:val="87"/>
              </w:rPr>
              <w:t>amended, as adopted pursuant to Section 302 of the Sarbanes-Oxley Act of 2002.</w:t>
            </w:r>
          </w:p>
        </w:tc>
        <w:tc>
          <w:tcPr>
            <w:tcW w:w="39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40" w:type="dxa"/>
            <w:vAlign w:val="bottom"/>
          </w:tcPr>
          <w:p>
            <w:pPr>
              <w:jc w:val="center"/>
              <w:spacing w:after="0" w:line="205" w:lineRule="exact"/>
              <w:rPr>
                <w:sz w:val="20"/>
                <w:szCs w:val="20"/>
                <w:color w:val="auto"/>
              </w:rPr>
            </w:pPr>
            <w:r>
              <w:rPr>
                <w:rFonts w:ascii="Arial" w:cs="Arial" w:eastAsia="Arial" w:hAnsi="Arial"/>
                <w:sz w:val="18"/>
                <w:szCs w:val="18"/>
                <w:color w:val="auto"/>
                <w:w w:val="90"/>
              </w:rPr>
              <w:t>31.2*</w:t>
            </w:r>
          </w:p>
        </w:tc>
        <w:tc>
          <w:tcPr>
            <w:tcW w:w="3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2"/>
              </w:rPr>
              <w:t>Certification of the Principal Financial Officer pursuant to Rules 13a-14(a) and 15d-14(a) of the Securities Exchange Act of 1934, as</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40" w:type="dxa"/>
            <w:vAlign w:val="bottom"/>
            <w:tcBorders>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w w:val="92"/>
              </w:rPr>
              <w:t>amended, as adopted pursuant to Section 302 of the Sarbanes-Oxley Act of 2002.</w:t>
            </w:r>
          </w:p>
        </w:tc>
        <w:tc>
          <w:tcPr>
            <w:tcW w:w="39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40" w:type="dxa"/>
            <w:vAlign w:val="bottom"/>
          </w:tcPr>
          <w:p>
            <w:pPr>
              <w:jc w:val="cente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0000FF"/>
                <w:w w:val="89"/>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20" w:type="dxa"/>
            <w:vAlign w:val="bottom"/>
            <w:tcBorders>
              <w:top w:val="single" w:sz="8" w:color="0000FF"/>
            </w:tcBorders>
            <w:gridSpan w:val="5"/>
          </w:tcPr>
          <w:p>
            <w:pPr>
              <w:spacing w:after="0" w:line="152" w:lineRule="exact"/>
              <w:rPr>
                <w:sz w:val="20"/>
                <w:szCs w:val="20"/>
                <w:color w:val="auto"/>
              </w:rPr>
            </w:pPr>
            <w:r>
              <w:rPr>
                <w:rFonts w:ascii="Arial" w:cs="Arial" w:eastAsia="Arial" w:hAnsi="Arial"/>
                <w:sz w:val="17"/>
                <w:szCs w:val="17"/>
                <w:color w:val="0000FF"/>
              </w:rPr>
              <w:t>Oxley Act of 2002.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jc w:val="center"/>
              <w:spacing w:after="0" w:line="205" w:lineRule="exact"/>
              <w:rPr>
                <w:sz w:val="20"/>
                <w:szCs w:val="20"/>
                <w:color w:val="auto"/>
              </w:rPr>
            </w:pPr>
            <w:r>
              <w:rPr>
                <w:rFonts w:ascii="Arial" w:cs="Arial" w:eastAsia="Arial" w:hAnsi="Arial"/>
                <w:sz w:val="18"/>
                <w:szCs w:val="18"/>
                <w:color w:val="auto"/>
              </w:rPr>
              <w:t>32.2**</w:t>
            </w:r>
          </w:p>
        </w:tc>
        <w:tc>
          <w:tcPr>
            <w:tcW w:w="360" w:type="dxa"/>
            <w:vAlign w:val="bottom"/>
          </w:tcPr>
          <w:p>
            <w:pPr>
              <w:spacing w:after="0"/>
              <w:rPr>
                <w:sz w:val="17"/>
                <w:szCs w:val="17"/>
                <w:color w:val="auto"/>
              </w:rPr>
            </w:pPr>
          </w:p>
        </w:tc>
        <w:tc>
          <w:tcPr>
            <w:tcW w:w="9720" w:type="dxa"/>
            <w:vAlign w:val="bottom"/>
            <w:gridSpan w:val="6"/>
          </w:tcPr>
          <w:p>
            <w:pPr>
              <w:spacing w:after="0" w:line="205" w:lineRule="exact"/>
              <w:rPr>
                <w:sz w:val="20"/>
                <w:szCs w:val="20"/>
                <w:color w:val="auto"/>
              </w:rPr>
            </w:pPr>
            <w:r>
              <w:rPr>
                <w:rFonts w:ascii="Arial" w:cs="Arial" w:eastAsia="Arial" w:hAnsi="Arial"/>
                <w:sz w:val="18"/>
                <w:szCs w:val="18"/>
                <w:color w:val="0000FF"/>
                <w:w w:val="90"/>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5" w:lineRule="exact"/>
              <w:rPr>
                <w:sz w:val="20"/>
                <w:szCs w:val="20"/>
                <w:color w:val="auto"/>
              </w:rPr>
            </w:pPr>
            <w:r>
              <w:rPr>
                <w:rFonts w:ascii="Arial" w:cs="Arial" w:eastAsia="Arial" w:hAnsi="Arial"/>
                <w:sz w:val="18"/>
                <w:szCs w:val="18"/>
                <w:color w:val="0000FF"/>
              </w:rPr>
              <w:t>Oxley Act of 2002.</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360" w:type="dxa"/>
            <w:vAlign w:val="bottom"/>
          </w:tcPr>
          <w:p>
            <w:pPr>
              <w:spacing w:after="0"/>
              <w:rPr>
                <w:sz w:val="21"/>
                <w:szCs w:val="21"/>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Arial" w:cs="Arial" w:eastAsia="Arial" w:hAnsi="Arial"/>
                <w:sz w:val="18"/>
                <w:szCs w:val="18"/>
                <w:color w:val="auto"/>
                <w:w w:val="92"/>
              </w:rPr>
              <w:t>101.SCH*</w:t>
            </w:r>
          </w:p>
        </w:tc>
        <w:tc>
          <w:tcPr>
            <w:tcW w:w="36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8"/>
        </w:trPr>
        <w:tc>
          <w:tcPr>
            <w:tcW w:w="1140" w:type="dxa"/>
            <w:vAlign w:val="bottom"/>
          </w:tcPr>
          <w:p>
            <w:pPr>
              <w:jc w:val="center"/>
              <w:spacing w:after="0"/>
              <w:rPr>
                <w:sz w:val="20"/>
                <w:szCs w:val="20"/>
                <w:color w:val="auto"/>
              </w:rPr>
            </w:pPr>
            <w:r>
              <w:rPr>
                <w:rFonts w:ascii="Arial" w:cs="Arial" w:eastAsia="Arial" w:hAnsi="Arial"/>
                <w:sz w:val="18"/>
                <w:szCs w:val="18"/>
                <w:color w:val="auto"/>
                <w:w w:val="95"/>
              </w:rPr>
              <w:t>101.CAL*</w:t>
            </w:r>
          </w:p>
        </w:tc>
        <w:tc>
          <w:tcPr>
            <w:tcW w:w="36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36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5"/>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101.LAB*</w:t>
            </w:r>
          </w:p>
        </w:tc>
        <w:tc>
          <w:tcPr>
            <w:tcW w:w="36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8"/>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36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31635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700" w:firstLine="6"/>
        <w:spacing w:after="0" w:line="307"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 and not “filed” for purposes of Section 18 of the Securities Exchange Act of 1934, as amended.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CRONOS GROUP INC.</w:t>
      </w:r>
    </w:p>
    <w:p>
      <w:pPr>
        <w:spacing w:after="0" w:line="85"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10795</wp:posOffset>
            </wp:positionV>
            <wp:extent cx="3424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James Holm</w:t>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8, 2023</w:t>
      </w:r>
    </w:p>
    <w:p>
      <w:pPr>
        <w:spacing w:after="0" w:line="244"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Jimmy McGinness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19685</wp:posOffset>
            </wp:positionV>
            <wp:extent cx="3424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Jimmy McGinness</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Controller, and Principal Accounting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8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PURSUANT TO 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Michael Gorenstein, certify that:</w:t>
      </w:r>
    </w:p>
    <w:p>
      <w:pPr>
        <w:spacing w:after="0" w:line="257"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Cronos Group Inc.;</w:t>
      </w:r>
    </w:p>
    <w:p>
      <w:pPr>
        <w:spacing w:after="0" w:line="111"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right="600" w:hanging="314"/>
        <w:spacing w:after="0" w:line="294"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20" w:right="240" w:hanging="314"/>
        <w:spacing w:after="0" w:line="255"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640" w:right="80" w:hanging="316"/>
        <w:spacing w:after="0" w:line="255"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640" w:right="60" w:hanging="316"/>
        <w:spacing w:after="0" w:line="255"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right="120" w:hanging="316"/>
        <w:spacing w:after="0" w:line="294" w:lineRule="auto"/>
        <w:tabs>
          <w:tab w:leader="none" w:pos="6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40" w:right="140" w:hanging="316"/>
        <w:spacing w:after="0" w:line="255"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right="340" w:hanging="314"/>
        <w:spacing w:after="0" w:line="365"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640" w:right="40" w:hanging="316"/>
        <w:spacing w:after="0" w:line="264"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right="80" w:hanging="316"/>
        <w:spacing w:after="0" w:line="264"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19685</wp:posOffset>
            </wp:positionV>
            <wp:extent cx="3088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Michael Gorenstein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 and Chief Executive Officer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104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PURSUANT TO 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James Holm, certify that:</w:t>
      </w:r>
    </w:p>
    <w:p>
      <w:pPr>
        <w:spacing w:after="0" w:line="217"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Cronos Group Inc.;</w:t>
      </w:r>
    </w:p>
    <w:p>
      <w:pPr>
        <w:spacing w:after="0" w:line="111"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right="600" w:hanging="314"/>
        <w:spacing w:after="0" w:line="294"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20" w:right="240" w:hanging="314"/>
        <w:spacing w:after="0" w:line="255"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640" w:right="60" w:hanging="319"/>
        <w:spacing w:after="0" w:line="255" w:lineRule="auto"/>
        <w:tabs>
          <w:tab w:leader="none" w:pos="62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sz w:val="20"/>
          <w:szCs w:val="20"/>
          <w:color w:val="auto"/>
        </w:rPr>
      </w:pPr>
    </w:p>
    <w:p>
      <w:pPr>
        <w:ind w:left="640" w:right="60" w:hanging="316"/>
        <w:spacing w:after="0" w:line="255" w:lineRule="auto"/>
        <w:tabs>
          <w:tab w:leader="none" w:pos="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right="120" w:hanging="316"/>
        <w:spacing w:after="0" w:line="294" w:lineRule="auto"/>
        <w:tabs>
          <w:tab w:leader="none" w:pos="6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40" w:right="140" w:hanging="316"/>
        <w:spacing w:after="0" w:line="255" w:lineRule="auto"/>
        <w:tabs>
          <w:tab w:leader="none" w:pos="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right="340" w:hanging="314"/>
        <w:spacing w:after="0" w:line="365" w:lineRule="auto"/>
        <w:tabs>
          <w:tab w:leader="none" w:pos="3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640" w:right="40" w:hanging="316"/>
        <w:spacing w:after="0" w:line="264" w:lineRule="auto"/>
        <w:tabs>
          <w:tab w:leader="none" w:pos="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right="80" w:hanging="316"/>
        <w:spacing w:after="0" w:line="264" w:lineRule="auto"/>
        <w:tabs>
          <w:tab w:leader="none" w:pos="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30880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Holm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104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2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0" w:lineRule="auto"/>
        <w:rPr>
          <w:sz w:val="20"/>
          <w:szCs w:val="20"/>
          <w:color w:val="auto"/>
        </w:rPr>
      </w:pPr>
      <w:r>
        <w:rPr>
          <w:rFonts w:ascii="Arial" w:cs="Arial" w:eastAsia="Arial" w:hAnsi="Arial"/>
          <w:sz w:val="18"/>
          <w:szCs w:val="18"/>
          <w:b w:val="1"/>
          <w:bCs w:val="1"/>
          <w:color w:val="auto"/>
        </w:rPr>
        <w:t>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ind w:right="260" w:firstLine="238"/>
        <w:spacing w:after="0" w:line="311" w:lineRule="auto"/>
        <w:rPr>
          <w:sz w:val="20"/>
          <w:szCs w:val="20"/>
          <w:color w:val="auto"/>
        </w:rPr>
      </w:pPr>
      <w:r>
        <w:rPr>
          <w:rFonts w:ascii="Arial" w:cs="Arial" w:eastAsia="Arial" w:hAnsi="Arial"/>
          <w:sz w:val="15"/>
          <w:szCs w:val="15"/>
          <w:color w:val="auto"/>
        </w:rPr>
        <w:t>In connection with the Quarterly Report on Form 10-Q for the period ended June 30, 2023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spacing w:after="0" w:line="204" w:lineRule="exact"/>
        <w:rPr>
          <w:sz w:val="20"/>
          <w:szCs w:val="20"/>
          <w:color w:val="auto"/>
        </w:rPr>
      </w:pPr>
    </w:p>
    <w:p>
      <w:pPr>
        <w:ind w:left="320" w:right="280" w:hanging="314"/>
        <w:spacing w:after="0" w:line="26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as amended; and</w:t>
      </w:r>
    </w:p>
    <w:p>
      <w:pPr>
        <w:spacing w:after="0" w:line="313" w:lineRule="exact"/>
        <w:rPr>
          <w:rFonts w:ascii="Arial" w:cs="Arial" w:eastAsia="Arial" w:hAnsi="Arial"/>
          <w:sz w:val="18"/>
          <w:szCs w:val="18"/>
          <w:color w:val="auto"/>
        </w:rPr>
      </w:pPr>
    </w:p>
    <w:p>
      <w:pPr>
        <w:ind w:left="320" w:hanging="314"/>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2658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Michael Gorenstein</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350"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20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29"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5"/>
          <w:szCs w:val="15"/>
          <w:b w:val="1"/>
          <w:bCs w:val="1"/>
          <w:color w:val="auto"/>
        </w:rPr>
        <w:t>Exhibit 32.2</w:t>
      </w: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0" w:lineRule="auto"/>
        <w:rPr>
          <w:sz w:val="20"/>
          <w:szCs w:val="20"/>
          <w:color w:val="auto"/>
        </w:rPr>
      </w:pPr>
      <w:r>
        <w:rPr>
          <w:rFonts w:ascii="Arial" w:cs="Arial" w:eastAsia="Arial" w:hAnsi="Arial"/>
          <w:sz w:val="18"/>
          <w:szCs w:val="18"/>
          <w:b w:val="1"/>
          <w:bCs w:val="1"/>
          <w:color w:val="auto"/>
        </w:rPr>
        <w:t>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ind w:right="40" w:firstLine="238"/>
        <w:spacing w:after="0" w:line="261" w:lineRule="auto"/>
        <w:rPr>
          <w:sz w:val="20"/>
          <w:szCs w:val="20"/>
          <w:color w:val="auto"/>
        </w:rPr>
      </w:pPr>
      <w:r>
        <w:rPr>
          <w:rFonts w:ascii="Arial" w:cs="Arial" w:eastAsia="Arial" w:hAnsi="Arial"/>
          <w:sz w:val="17"/>
          <w:szCs w:val="17"/>
          <w:color w:val="auto"/>
        </w:rPr>
        <w:t>In connection with the Quarterly Report on Form 10-Q for the period ended June 30, 2023 of Cronos Group Inc. (the “Company”) as filed with the U.S. Securities and Exchange Commission (the “SEC”) on the date hereof (the “Report”), I, James Holm, Chief Financial Officer of the Company, certify, pursuant to 18 U.S.C. Section 1350, as adopted pursuant to Section 906 of the Sarbanes-Oxley Act of 2002, that, to my knowledge:</w:t>
      </w:r>
    </w:p>
    <w:p>
      <w:pPr>
        <w:spacing w:after="0" w:line="237" w:lineRule="exact"/>
        <w:rPr>
          <w:sz w:val="20"/>
          <w:szCs w:val="20"/>
          <w:color w:val="auto"/>
        </w:rPr>
      </w:pPr>
    </w:p>
    <w:p>
      <w:pPr>
        <w:ind w:left="320" w:right="280" w:hanging="314"/>
        <w:spacing w:after="0" w:line="264"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as amended; and</w:t>
      </w:r>
    </w:p>
    <w:p>
      <w:pPr>
        <w:spacing w:after="0" w:line="313" w:lineRule="exact"/>
        <w:rPr>
          <w:rFonts w:ascii="Arial" w:cs="Arial" w:eastAsia="Arial" w:hAnsi="Arial"/>
          <w:sz w:val="18"/>
          <w:szCs w:val="18"/>
          <w:color w:val="auto"/>
        </w:rPr>
      </w:pPr>
    </w:p>
    <w:p>
      <w:pPr>
        <w:ind w:left="320" w:hanging="314"/>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2658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James Holm</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4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20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2"/>
    </w:lvl>
  </w:abstractNum>
  <w:abstractNum w:abstractNumId="4">
    <w:nsid w:val="8138641"/>
    <w:multiLevelType w:val="hybridMultilevel"/>
    <w:lvl w:ilvl="0">
      <w:lvlJc w:val="left"/>
      <w:lvlText w:val="(%1)"/>
      <w:numFmt w:val="lowerLetter"/>
      <w:start w:val="3"/>
    </w:lvl>
  </w:abstractNum>
  <w:abstractNum w:abstractNumId="5">
    <w:nsid w:val="1E7FF521"/>
    <w:multiLevelType w:val="hybridMultilevel"/>
    <w:lvl w:ilvl="0">
      <w:lvlJc w:val="left"/>
      <w:lvlText w:val="(%1)"/>
      <w:numFmt w:val="lowerLetter"/>
      <w:start w:val="4"/>
    </w:lvl>
  </w:abstractNum>
  <w:abstractNum w:abstractNumId="6">
    <w:nsid w:val="7C3DBD3D"/>
    <w:multiLevelType w:val="hybridMultilevel"/>
    <w:lvl w:ilvl="0">
      <w:lvlJc w:val="left"/>
      <w:lvlText w:val="(%1)"/>
      <w:numFmt w:val="lowerLetter"/>
      <w:start w:val="5"/>
    </w:lvl>
  </w:abstractNum>
  <w:abstractNum w:abstractNumId="7">
    <w:nsid w:val="737B8DDC"/>
    <w:multiLevelType w:val="hybridMultilevel"/>
    <w:lvl w:ilvl="0">
      <w:lvlJc w:val="left"/>
      <w:lvlText w:val="(%1)"/>
      <w:numFmt w:val="lowerLetter"/>
      <w:start w:val="6"/>
    </w:lvl>
  </w:abstractNum>
  <w:abstractNum w:abstractNumId="8">
    <w:nsid w:val="6CEAF087"/>
    <w:multiLevelType w:val="hybridMultilevel"/>
    <w:lvl w:ilvl="0">
      <w:lvlJc w:val="left"/>
      <w:lvlText w:val="(%1)"/>
      <w:numFmt w:val="lowerLetter"/>
      <w:start w:val="7"/>
    </w:lvl>
  </w:abstractNum>
  <w:abstractNum w:abstractNumId="9">
    <w:nsid w:val="22221A70"/>
    <w:multiLevelType w:val="hybridMultilevel"/>
    <w:lvl w:ilvl="0">
      <w:lvlJc w:val="left"/>
      <w:lvlText w:val="(%1)"/>
      <w:numFmt w:val="lowerLetter"/>
      <w:start w:val="8"/>
    </w:lvl>
  </w:abstractNum>
  <w:abstractNum w:abstractNumId="10">
    <w:nsid w:val="4516DDE9"/>
    <w:multiLevelType w:val="hybridMultilevel"/>
    <w:lvl w:ilvl="0">
      <w:lvlJc w:val="left"/>
      <w:lvlText w:val="(%1)"/>
      <w:numFmt w:val="lowerRoman"/>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2"/>
    </w:lvl>
  </w:abstractNum>
  <w:abstractNum w:abstractNumId="13">
    <w:nsid w:val="419AC241"/>
    <w:multiLevelType w:val="hybridMultilevel"/>
    <w:lvl w:ilvl="0">
      <w:lvlJc w:val="left"/>
      <w:lvlText w:val="(%1)"/>
      <w:numFmt w:val="lowerRoman"/>
      <w:start w:val="1"/>
    </w:lvl>
    <w:lvl w:ilvl="1">
      <w:lvlJc w:val="left"/>
      <w:lvlText w:val="%2."/>
      <w:numFmt w:val="decimal"/>
      <w:start w:val="6"/>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2"/>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2"/>
    </w:lvl>
  </w:abstractNum>
  <w:abstractNum w:abstractNumId="19">
    <w:nsid w:val="7724C67E"/>
    <w:multiLevelType w:val="hybridMultilevel"/>
    <w:lvl w:ilvl="0">
      <w:lvlJc w:val="left"/>
      <w:lvlText w:val="(%1)"/>
      <w:numFmt w:val="lowerRoman"/>
      <w:start w:val="1"/>
    </w:lvl>
  </w:abstractNum>
  <w:abstractNum w:abstractNumId="20">
    <w:nsid w:val="5C482A97"/>
    <w:multiLevelType w:val="hybridMultilevel"/>
    <w:lvl w:ilvl="0">
      <w:lvlJc w:val="left"/>
      <w:lvlText w:val="(%1)"/>
      <w:numFmt w:val="lowerLetter"/>
      <w:start w:val="3"/>
    </w:lvl>
  </w:abstractNum>
  <w:abstractNum w:abstractNumId="21">
    <w:nsid w:val="2463B9EA"/>
    <w:multiLevelType w:val="hybridMultilevel"/>
    <w:lvl w:ilvl="0">
      <w:lvlJc w:val="left"/>
      <w:lvlText w:val="(%1)"/>
      <w:numFmt w:val="lowerRoman"/>
      <w:start w:val="1"/>
    </w:lvl>
  </w:abstractNum>
  <w:abstractNum w:abstractNumId="22">
    <w:nsid w:val="5E884ADC"/>
    <w:multiLevelType w:val="hybridMultilevel"/>
    <w:lvl w:ilvl="0">
      <w:lvlJc w:val="left"/>
      <w:lvlText w:val="(%1)"/>
      <w:numFmt w:val="lowerLetter"/>
      <w:start w:val="4"/>
    </w:lvl>
  </w:abstractNum>
  <w:abstractNum w:abstractNumId="23">
    <w:nsid w:val="51EAD36B"/>
    <w:multiLevelType w:val="hybridMultilevel"/>
    <w:lvl w:ilvl="0">
      <w:lvlJc w:val="left"/>
      <w:lvlText w:val="(%1)"/>
      <w:numFmt w:val="lowerRoman"/>
      <w:start w:val="1"/>
    </w:lvl>
  </w:abstractNum>
  <w:abstractNum w:abstractNumId="24">
    <w:nsid w:val="2D517796"/>
    <w:multiLevelType w:val="hybridMultilevel"/>
    <w:lvl w:ilvl="0">
      <w:lvlJc w:val="left"/>
      <w:lvlText w:val="%1"/>
      <w:numFmt w:val="lowerLetter"/>
      <w:start w:val="1"/>
    </w:lvl>
    <w:lvl w:ilvl="1">
      <w:lvlJc w:val="left"/>
      <w:lvlText w:val="%2."/>
      <w:numFmt w:val="decimal"/>
      <w:start w:val="10"/>
    </w:lvl>
  </w:abstractNum>
  <w:abstractNum w:abstractNumId="25">
    <w:nsid w:val="580BD78F"/>
    <w:multiLevelType w:val="hybridMultilevel"/>
    <w:lvl w:ilvl="0">
      <w:lvlJc w:val="left"/>
      <w:lvlText w:val="(%1)"/>
      <w:numFmt w:val="lowerLetter"/>
      <w:start w:val="1"/>
    </w:lvl>
    <w:lvl w:ilvl="1">
      <w:lvlJc w:val="left"/>
      <w:lvlText w:val="%2"/>
      <w:numFmt w:val="decimal"/>
      <w:start w:val="1"/>
    </w:lvl>
  </w:abstractNum>
  <w:abstractNum w:abstractNumId="26">
    <w:nsid w:val="153EA438"/>
    <w:multiLevelType w:val="hybridMultilevel"/>
    <w:lvl w:ilvl="0">
      <w:lvlJc w:val="left"/>
      <w:lvlText w:val="(%1)"/>
      <w:numFmt w:val="lowerLetter"/>
      <w:start w:val="2"/>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Roman"/>
      <w:start w:val="1"/>
    </w:lvl>
  </w:abstractNum>
  <w:abstractNum w:abstractNumId="29">
    <w:nsid w:val="6A2342EC"/>
    <w:multiLevelType w:val="hybridMultilevel"/>
    <w:lvl w:ilvl="0">
      <w:lvlJc w:val="left"/>
      <w:lvlText w:val="(%1)"/>
      <w:numFmt w:val="lowerRoman"/>
      <w:start w:val="1"/>
    </w:lvl>
  </w:abstractNum>
  <w:abstractNum w:abstractNumId="30">
    <w:nsid w:val="2A487CB0"/>
    <w:multiLevelType w:val="hybridMultilevel"/>
    <w:lvl w:ilvl="0">
      <w:lvlJc w:val="left"/>
      <w:lvlText w:val="%1"/>
      <w:numFmt w:val="lowerLetter"/>
      <w:start w:val="1"/>
    </w:lvl>
    <w:lvl w:ilvl="1">
      <w:lvlJc w:val="left"/>
      <w:lvlText w:val="%2."/>
      <w:numFmt w:val="decimal"/>
      <w:start w:val="12"/>
    </w:lvl>
  </w:abstractNum>
  <w:abstractNum w:abstractNumId="31">
    <w:nsid w:val="1D4ED43B"/>
    <w:multiLevelType w:val="hybridMultilevel"/>
    <w:lvl w:ilvl="0">
      <w:lvlJc w:val="left"/>
      <w:lvlText w:val="(%1)"/>
      <w:numFmt w:val="lowerLetter"/>
      <w:start w:val="1"/>
    </w:lvl>
    <w:lvl w:ilvl="1">
      <w:lvlJc w:val="left"/>
      <w:lvlText w:val="%2"/>
      <w:numFmt w:val="decimal"/>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lowerRoman"/>
      <w:start w:val="18"/>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Roman"/>
      <w:start w:val="1"/>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1)"/>
      <w:numFmt w:val="lowerRoman"/>
      <w:start w:val="1"/>
    </w:lvl>
  </w:abstractNum>
  <w:abstractNum w:abstractNumId="42">
    <w:nsid w:val="684A481A"/>
    <w:multiLevelType w:val="hybridMultilevel"/>
    <w:lvl w:ilvl="0">
      <w:lvlJc w:val="left"/>
      <w:lvlText w:val="(%1)"/>
      <w:numFmt w:val="lowerRoman"/>
      <w:start w:val="6"/>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2"/>
    </w:lvl>
  </w:abstractNum>
  <w:abstractNum w:abstractNumId="52">
    <w:nsid w:val="374A3FE6"/>
    <w:multiLevelType w:val="hybridMultilevel"/>
    <w:lvl w:ilvl="0">
      <w:lvlJc w:val="left"/>
      <w:lvlText w:val="%1."/>
      <w:numFmt w:val="decimal"/>
      <w:start w:val="5"/>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4" Type="http://schemas.openxmlformats.org/officeDocument/2006/relationships/hyperlink" Target="http://www.sec.gov/Archives/edgar/data/1656472/000165647220000073/exhibit31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2023-08-08T06:42:33Z</dcterms:created>
  <dcterms:modified xsi:type="dcterms:W3CDTF">2023-08-08T06:42:33Z</dcterms:modified>
</cp:coreProperties>
</file>