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627380</wp:posOffset>
            </wp:positionV>
            <wp:extent cx="71348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651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 w:lineRule="exact"/>
        <w:rPr>
          <w:sz w:val="24"/>
          <w:szCs w:val="24"/>
          <w:color w:val="auto"/>
        </w:rPr>
      </w:pPr>
    </w:p>
    <w:p>
      <w:pPr>
        <w:ind w:right="2780" w:firstLine="6"/>
        <w:spacing w:after="0" w:line="283" w:lineRule="auto"/>
        <w:tabs>
          <w:tab w:leader="none" w:pos="2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 w:lineRule="exact"/>
        <w:rPr>
          <w:sz w:val="24"/>
          <w:szCs w:val="24"/>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transition period from to .</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001-38403</w:t>
      </w:r>
    </w:p>
    <w:p>
      <w:pPr>
        <w:spacing w:after="0" w:line="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5"/>
          <w:szCs w:val="35"/>
          <w:b w:val="1"/>
          <w:bCs w:val="1"/>
          <w:color w:val="auto"/>
        </w:rPr>
        <w:t>CRONOS GROUP INC.</w:t>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35" w:lineRule="exact"/>
        <w:rPr>
          <w:sz w:val="24"/>
          <w:szCs w:val="24"/>
          <w:color w:val="auto"/>
        </w:rPr>
      </w:pPr>
    </w:p>
    <w:tbl>
      <w:tblPr>
        <w:tblLayout w:type="fixed"/>
        <w:tblInd w:w="1940" w:type="dxa"/>
        <w:tblCellMar>
          <w:top w:w="0" w:type="dxa"/>
          <w:left w:w="0" w:type="dxa"/>
          <w:bottom w:w="0" w:type="dxa"/>
          <w:right w:w="0" w:type="dxa"/>
        </w:tblCellMar>
      </w:tblPr>
      <w:tr>
        <w:trPr>
          <w:trHeight w:val="225"/>
        </w:trPr>
        <w:tc>
          <w:tcPr>
            <w:tcW w:w="5760" w:type="dxa"/>
            <w:vAlign w:val="bottom"/>
          </w:tcPr>
          <w:p>
            <w:pPr>
              <w:jc w:val="center"/>
              <w:ind w:right="3622"/>
              <w:spacing w:after="0"/>
              <w:rPr>
                <w:sz w:val="20"/>
                <w:szCs w:val="20"/>
                <w:color w:val="auto"/>
              </w:rPr>
            </w:pPr>
            <w:r>
              <w:rPr>
                <w:rFonts w:ascii="Times New Roman" w:cs="Times New Roman" w:eastAsia="Times New Roman" w:hAnsi="Times New Roman"/>
                <w:sz w:val="18"/>
                <w:szCs w:val="18"/>
                <w:b w:val="1"/>
                <w:bCs w:val="1"/>
                <w:color w:val="auto"/>
                <w:w w:val="97"/>
              </w:rPr>
              <w:t>British Columbia, Canada</w:t>
            </w:r>
          </w:p>
        </w:tc>
        <w:tc>
          <w:tcPr>
            <w:tcW w:w="1060" w:type="dxa"/>
            <w:vAlign w:val="bottom"/>
          </w:tcPr>
          <w:p>
            <w:pPr>
              <w:jc w:val="center"/>
              <w:ind w:left="8"/>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62"/>
        </w:trPr>
        <w:tc>
          <w:tcPr>
            <w:tcW w:w="5760" w:type="dxa"/>
            <w:vAlign w:val="bottom"/>
          </w:tcPr>
          <w:p>
            <w:pPr>
              <w:jc w:val="center"/>
              <w:ind w:right="3622"/>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1060" w:type="dxa"/>
            <w:vAlign w:val="bottom"/>
          </w:tcPr>
          <w:p>
            <w:pPr>
              <w:jc w:val="center"/>
              <w:ind w:left="8"/>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72"/>
        </w:trPr>
        <w:tc>
          <w:tcPr>
            <w:tcW w:w="5760" w:type="dxa"/>
            <w:vAlign w:val="bottom"/>
          </w:tcPr>
          <w:p>
            <w:pPr>
              <w:jc w:val="center"/>
              <w:ind w:right="3622"/>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1060" w:type="dxa"/>
            <w:vAlign w:val="bottom"/>
          </w:tcPr>
          <w:p>
            <w:pPr>
              <w:jc w:val="center"/>
              <w:ind w:left="28"/>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500"/>
        </w:trPr>
        <w:tc>
          <w:tcPr>
            <w:tcW w:w="5760" w:type="dxa"/>
            <w:vAlign w:val="bottom"/>
          </w:tcPr>
          <w:p>
            <w:pPr>
              <w:jc w:val="center"/>
              <w:ind w:right="3622"/>
              <w:spacing w:after="0"/>
              <w:rPr>
                <w:sz w:val="20"/>
                <w:szCs w:val="20"/>
                <w:color w:val="auto"/>
              </w:rPr>
            </w:pPr>
            <w:r>
              <w:rPr>
                <w:rFonts w:ascii="Times New Roman" w:cs="Times New Roman" w:eastAsia="Times New Roman" w:hAnsi="Times New Roman"/>
                <w:sz w:val="18"/>
                <w:szCs w:val="18"/>
                <w:b w:val="1"/>
                <w:bCs w:val="1"/>
                <w:color w:val="auto"/>
                <w:w w:val="96"/>
              </w:rPr>
              <w:t>111 Peter St. Suite 300</w:t>
            </w:r>
          </w:p>
        </w:tc>
        <w:tc>
          <w:tcPr>
            <w:tcW w:w="1060" w:type="dxa"/>
            <w:vAlign w:val="bottom"/>
          </w:tcPr>
          <w:p>
            <w:pPr>
              <w:spacing w:after="0"/>
              <w:rPr>
                <w:sz w:val="24"/>
                <w:szCs w:val="24"/>
                <w:color w:val="auto"/>
              </w:rPr>
            </w:pPr>
          </w:p>
        </w:tc>
      </w:tr>
      <w:tr>
        <w:trPr>
          <w:trHeight w:val="225"/>
        </w:trPr>
        <w:tc>
          <w:tcPr>
            <w:tcW w:w="5760" w:type="dxa"/>
            <w:vAlign w:val="bottom"/>
          </w:tcPr>
          <w:p>
            <w:pPr>
              <w:jc w:val="center"/>
              <w:ind w:right="3622"/>
              <w:spacing w:after="0"/>
              <w:rPr>
                <w:sz w:val="20"/>
                <w:szCs w:val="20"/>
                <w:color w:val="auto"/>
              </w:rPr>
            </w:pPr>
            <w:r>
              <w:rPr>
                <w:rFonts w:ascii="Times New Roman" w:cs="Times New Roman" w:eastAsia="Times New Roman" w:hAnsi="Times New Roman"/>
                <w:sz w:val="18"/>
                <w:szCs w:val="18"/>
                <w:b w:val="1"/>
                <w:bCs w:val="1"/>
                <w:color w:val="auto"/>
                <w:w w:val="97"/>
              </w:rPr>
              <w:t>Toronto, Ontario</w:t>
            </w:r>
          </w:p>
        </w:tc>
        <w:tc>
          <w:tcPr>
            <w:tcW w:w="1060" w:type="dxa"/>
            <w:vAlign w:val="bottom"/>
          </w:tcPr>
          <w:p>
            <w:pPr>
              <w:jc w:val="center"/>
              <w:ind w:left="8"/>
              <w:spacing w:after="0"/>
              <w:rPr>
                <w:sz w:val="20"/>
                <w:szCs w:val="20"/>
                <w:color w:val="auto"/>
              </w:rPr>
            </w:pPr>
            <w:r>
              <w:rPr>
                <w:rFonts w:ascii="Times New Roman" w:cs="Times New Roman" w:eastAsia="Times New Roman" w:hAnsi="Times New Roman"/>
                <w:sz w:val="18"/>
                <w:szCs w:val="18"/>
                <w:b w:val="1"/>
                <w:bCs w:val="1"/>
                <w:color w:val="auto"/>
                <w:w w:val="97"/>
              </w:rPr>
              <w:t>M5V 2H1</w:t>
            </w:r>
          </w:p>
        </w:tc>
      </w:tr>
      <w:tr>
        <w:trPr>
          <w:trHeight w:val="162"/>
        </w:trPr>
        <w:tc>
          <w:tcPr>
            <w:tcW w:w="5760" w:type="dxa"/>
            <w:vAlign w:val="bottom"/>
          </w:tcPr>
          <w:p>
            <w:pPr>
              <w:jc w:val="center"/>
              <w:ind w:right="3642"/>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060" w:type="dxa"/>
            <w:vAlign w:val="bottom"/>
          </w:tcPr>
          <w:p>
            <w:pPr>
              <w:jc w:val="center"/>
              <w:ind w:left="8"/>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288"/>
        </w:trPr>
        <w:tc>
          <w:tcPr>
            <w:tcW w:w="5760" w:type="dxa"/>
            <w:vAlign w:val="bottom"/>
          </w:tcPr>
          <w:p>
            <w:pPr>
              <w:jc w:val="right"/>
              <w:ind w:right="1502"/>
              <w:spacing w:after="0"/>
              <w:rPr>
                <w:sz w:val="20"/>
                <w:szCs w:val="20"/>
                <w:color w:val="auto"/>
              </w:rPr>
            </w:pPr>
            <w:r>
              <w:rPr>
                <w:rFonts w:ascii="Times New Roman" w:cs="Times New Roman" w:eastAsia="Times New Roman" w:hAnsi="Times New Roman"/>
                <w:sz w:val="18"/>
                <w:szCs w:val="18"/>
                <w:b w:val="1"/>
                <w:bCs w:val="1"/>
                <w:color w:val="auto"/>
              </w:rPr>
              <w:t>416-504-0004</w:t>
            </w:r>
          </w:p>
        </w:tc>
        <w:tc>
          <w:tcPr>
            <w:tcW w:w="1060" w:type="dxa"/>
            <w:vAlign w:val="bottom"/>
          </w:tcPr>
          <w:p>
            <w:pPr>
              <w:spacing w:after="0"/>
              <w:rPr>
                <w:sz w:val="24"/>
                <w:szCs w:val="24"/>
                <w:color w:val="auto"/>
              </w:rPr>
            </w:pPr>
          </w:p>
        </w:tc>
      </w:tr>
      <w:tr>
        <w:trPr>
          <w:trHeight w:val="233"/>
        </w:trPr>
        <w:tc>
          <w:tcPr>
            <w:tcW w:w="5760" w:type="dxa"/>
            <w:vAlign w:val="bottom"/>
          </w:tcPr>
          <w:p>
            <w:pPr>
              <w:jc w:val="center"/>
              <w:ind w:left="1542"/>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including area code)</w:t>
            </w:r>
          </w:p>
        </w:tc>
        <w:tc>
          <w:tcPr>
            <w:tcW w:w="1060" w:type="dxa"/>
            <w:vAlign w:val="bottom"/>
          </w:tcPr>
          <w:p>
            <w:pPr>
              <w:spacing w:after="0"/>
              <w:rPr>
                <w:sz w:val="20"/>
                <w:szCs w:val="20"/>
                <w:color w:val="auto"/>
              </w:rPr>
            </w:pPr>
          </w:p>
        </w:tc>
      </w:tr>
    </w:tbl>
    <w:p>
      <w:pPr>
        <w:spacing w:after="0" w:line="2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14605</wp:posOffset>
            </wp:positionV>
            <wp:extent cx="1430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5" w:lineRule="exact"/>
        <w:rPr>
          <w:sz w:val="24"/>
          <w:szCs w:val="24"/>
          <w:color w:val="auto"/>
        </w:rPr>
      </w:pPr>
    </w:p>
    <w:tbl>
      <w:tblPr>
        <w:tblLayout w:type="fixed"/>
        <w:tblInd w:w="700" w:type="dxa"/>
        <w:tblCellMar>
          <w:top w:w="0" w:type="dxa"/>
          <w:left w:w="0" w:type="dxa"/>
          <w:bottom w:w="0" w:type="dxa"/>
          <w:right w:w="0" w:type="dxa"/>
        </w:tblCellMar>
      </w:tblPr>
      <w:tr>
        <w:trPr>
          <w:trHeight w:val="172"/>
        </w:trPr>
        <w:tc>
          <w:tcPr>
            <w:tcW w:w="33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3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60"/>
        </w:trPr>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Shares, no par value</w:t>
            </w:r>
          </w:p>
        </w:tc>
        <w:tc>
          <w:tcPr>
            <w:tcW w:w="18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CRON</w:t>
            </w:r>
          </w:p>
        </w:tc>
        <w:tc>
          <w:tcPr>
            <w:tcW w:w="18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325" w:lineRule="exact"/>
        <w:rPr>
          <w:sz w:val="24"/>
          <w:szCs w:val="24"/>
          <w:color w:val="auto"/>
        </w:rPr>
      </w:pPr>
    </w:p>
    <w:p>
      <w:pPr>
        <w:ind w:right="80"/>
        <w:spacing w:after="0" w:line="329"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4"/>
          <w:szCs w:val="14"/>
          <w:b w:val="1"/>
          <w:bCs w:val="1"/>
          <w:color w:val="auto"/>
        </w:rPr>
        <w:t>o</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(§232.405 of this chapter) during the preceding 12 months</w:t>
      </w:r>
    </w:p>
    <w:p>
      <w:pPr>
        <w:spacing w:after="0" w:line="58" w:lineRule="exact"/>
        <w:rPr>
          <w:sz w:val="24"/>
          <w:szCs w:val="24"/>
          <w:color w:val="auto"/>
        </w:rPr>
      </w:pPr>
    </w:p>
    <w:p>
      <w:pPr>
        <w:spacing w:after="0"/>
        <w:tabs>
          <w:tab w:leader="none" w:pos="4620" w:val="left"/>
        </w:tabs>
        <w:rPr>
          <w:sz w:val="20"/>
          <w:szCs w:val="20"/>
          <w:color w:val="auto"/>
        </w:rPr>
      </w:pPr>
      <w:r>
        <w:rPr>
          <w:rFonts w:ascii="Times New Roman" w:cs="Times New Roman" w:eastAsia="Times New Roman" w:hAnsi="Times New Roman"/>
          <w:sz w:val="12"/>
          <w:szCs w:val="12"/>
          <w:color w:val="auto"/>
        </w:rPr>
        <w:t>(or for such shorter period that the registrant was required to submit such files).</w:t>
      </w:r>
      <w:r>
        <w:rPr>
          <w:sz w:val="20"/>
          <w:szCs w:val="20"/>
          <w:color w:val="auto"/>
        </w:rPr>
        <w:tab/>
      </w:r>
      <w:r>
        <w:rPr>
          <w:rFonts w:ascii="Times New Roman" w:cs="Times New Roman" w:eastAsia="Times New Roman" w:hAnsi="Times New Roman"/>
          <w:sz w:val="12"/>
          <w:szCs w:val="12"/>
          <w:color w:val="auto"/>
        </w:rPr>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4"/>
          <w:szCs w:val="14"/>
          <w:b w:val="1"/>
          <w:bCs w:val="1"/>
          <w:color w:val="auto"/>
        </w:rPr>
        <w:t>o</w:t>
      </w:r>
    </w:p>
    <w:p>
      <w:pPr>
        <w:spacing w:after="0" w:line="239" w:lineRule="exact"/>
        <w:rPr>
          <w:sz w:val="24"/>
          <w:szCs w:val="24"/>
          <w:color w:val="auto"/>
        </w:rPr>
      </w:pPr>
    </w:p>
    <w:p>
      <w:pPr>
        <w:ind w:right="60"/>
        <w:spacing w:after="0" w:line="29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20" w:type="dxa"/>
        <w:tblCellMar>
          <w:top w:w="0" w:type="dxa"/>
          <w:left w:w="0" w:type="dxa"/>
          <w:bottom w:w="0" w:type="dxa"/>
          <w:right w:w="0" w:type="dxa"/>
        </w:tblCellMar>
      </w:tblP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740" w:type="dxa"/>
            <w:vAlign w:val="bottom"/>
          </w:tcPr>
          <w:p>
            <w:pPr>
              <w:ind w:left="680"/>
              <w:spacing w:after="0"/>
              <w:rPr>
                <w:sz w:val="20"/>
                <w:szCs w:val="20"/>
                <w:color w:val="auto"/>
              </w:rPr>
            </w:pPr>
            <w:r>
              <w:rPr>
                <w:rFonts w:ascii="Wingdings" w:cs="Wingdings" w:eastAsia="Wingdings" w:hAnsi="Wingdings"/>
                <w:sz w:val="14"/>
                <w:szCs w:val="14"/>
                <w:b w:val="1"/>
                <w:bCs w:val="1"/>
                <w:color w:val="auto"/>
              </w:rPr>
              <w:t>o</w:t>
            </w:r>
          </w:p>
        </w:tc>
        <w:tc>
          <w:tcPr>
            <w:tcW w:w="4860" w:type="dxa"/>
            <w:vAlign w:val="bottom"/>
          </w:tcPr>
          <w:p>
            <w:pPr>
              <w:ind w:left="2960"/>
              <w:spacing w:after="0"/>
              <w:rPr>
                <w:sz w:val="20"/>
                <w:szCs w:val="20"/>
                <w:color w:val="auto"/>
              </w:rPr>
            </w:pPr>
            <w:r>
              <w:rPr>
                <w:rFonts w:ascii="Times New Roman" w:cs="Times New Roman" w:eastAsia="Times New Roman" w:hAnsi="Times New Roman"/>
                <w:sz w:val="12"/>
                <w:szCs w:val="12"/>
                <w:color w:val="auto"/>
              </w:rPr>
              <w:t>Accelerated filer</w:t>
            </w:r>
          </w:p>
        </w:tc>
        <w:tc>
          <w:tcPr>
            <w:tcW w:w="720" w:type="dxa"/>
            <w:vAlign w:val="bottom"/>
          </w:tcPr>
          <w:p>
            <w:pPr>
              <w:ind w:left="560"/>
              <w:spacing w:after="0"/>
              <w:rPr>
                <w:sz w:val="20"/>
                <w:szCs w:val="20"/>
                <w:color w:val="auto"/>
              </w:rPr>
            </w:pPr>
            <w:r>
              <w:rPr>
                <w:rFonts w:ascii="Wingdings" w:cs="Wingdings" w:eastAsia="Wingdings" w:hAnsi="Wingdings"/>
                <w:sz w:val="14"/>
                <w:szCs w:val="14"/>
                <w:b w:val="1"/>
                <w:bCs w:val="1"/>
                <w:color w:val="auto"/>
                <w:w w:val="94"/>
              </w:rPr>
              <w:t>x</w:t>
            </w:r>
          </w:p>
        </w:tc>
      </w:tr>
      <w:tr>
        <w:trPr>
          <w:trHeight w:val="199"/>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740" w:type="dxa"/>
            <w:vAlign w:val="bottom"/>
          </w:tcPr>
          <w:p>
            <w:pPr>
              <w:ind w:left="680"/>
              <w:spacing w:after="0"/>
              <w:rPr>
                <w:sz w:val="20"/>
                <w:szCs w:val="20"/>
                <w:color w:val="auto"/>
              </w:rPr>
            </w:pPr>
            <w:r>
              <w:rPr>
                <w:rFonts w:ascii="Wingdings" w:cs="Wingdings" w:eastAsia="Wingdings" w:hAnsi="Wingdings"/>
                <w:sz w:val="14"/>
                <w:szCs w:val="14"/>
                <w:b w:val="1"/>
                <w:bCs w:val="1"/>
                <w:color w:val="auto"/>
              </w:rPr>
              <w:t>o</w:t>
            </w:r>
          </w:p>
        </w:tc>
        <w:tc>
          <w:tcPr>
            <w:tcW w:w="4860" w:type="dxa"/>
            <w:vAlign w:val="bottom"/>
          </w:tcPr>
          <w:p>
            <w:pPr>
              <w:ind w:left="296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7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7"/>
        </w:trPr>
        <w:tc>
          <w:tcPr>
            <w:tcW w:w="17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860" w:type="dxa"/>
            <w:vAlign w:val="bottom"/>
          </w:tcPr>
          <w:p>
            <w:pPr>
              <w:ind w:left="2960"/>
              <w:spacing w:after="0"/>
              <w:rPr>
                <w:sz w:val="20"/>
                <w:szCs w:val="20"/>
                <w:color w:val="auto"/>
              </w:rPr>
            </w:pPr>
            <w:r>
              <w:rPr>
                <w:rFonts w:ascii="Times New Roman" w:cs="Times New Roman" w:eastAsia="Times New Roman" w:hAnsi="Times New Roman"/>
                <w:sz w:val="12"/>
                <w:szCs w:val="12"/>
                <w:color w:val="auto"/>
              </w:rPr>
              <w:t>Emerging growth company</w:t>
            </w:r>
          </w:p>
        </w:tc>
        <w:tc>
          <w:tcPr>
            <w:tcW w:w="7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50" w:lineRule="exact"/>
        <w:rPr>
          <w:sz w:val="24"/>
          <w:szCs w:val="24"/>
          <w:color w:val="auto"/>
        </w:rPr>
      </w:pPr>
    </w:p>
    <w:p>
      <w:pPr>
        <w:ind w:right="460"/>
        <w:spacing w:after="0" w:line="28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14" w:lineRule="exact"/>
        <w:rPr>
          <w:sz w:val="24"/>
          <w:szCs w:val="24"/>
          <w:color w:val="auto"/>
        </w:rPr>
      </w:pPr>
    </w:p>
    <w:p>
      <w:pPr>
        <w:spacing w:after="0" w:line="150" w:lineRule="exact"/>
        <w:tabs>
          <w:tab w:leader="none" w:pos="578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1"/>
          <w:szCs w:val="11"/>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1"/>
          <w:szCs w:val="11"/>
          <w:color w:val="auto"/>
        </w:rPr>
        <w:t xml:space="preserve"> No </w:t>
      </w:r>
      <w:r>
        <w:rPr>
          <w:rFonts w:ascii="Wingdings" w:cs="Wingdings" w:eastAsia="Wingdings" w:hAnsi="Wingdings"/>
          <w:sz w:val="13"/>
          <w:szCs w:val="13"/>
          <w:b w:val="1"/>
          <w:bCs w:val="1"/>
          <w:color w:val="auto"/>
        </w:rPr>
        <w:t>x</w:t>
      </w: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May 6, 2024, there were 382,011,178 common shares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13486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080"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080" w:right="39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3.</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1A.</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3.</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5.</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jc w:val="center"/>
        <w:ind w:left="-1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3" w:lineRule="exact"/>
        <w:rPr>
          <w:sz w:val="20"/>
          <w:szCs w:val="20"/>
          <w:color w:val="auto"/>
        </w:rPr>
      </w:pPr>
    </w:p>
    <w:p>
      <w:pPr>
        <w:jc w:val="center"/>
        <w:ind w:left="-1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45" w:lineRule="exact"/>
        <w:rPr>
          <w:sz w:val="20"/>
          <w:szCs w:val="20"/>
          <w:color w:val="auto"/>
        </w:rPr>
      </w:pPr>
    </w:p>
    <w:p>
      <w:pPr>
        <w:jc w:val="center"/>
        <w:ind w:left="-199"/>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Financial Statements.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Controls and Procedures.</w:t>
      </w:r>
    </w:p>
    <w:p>
      <w:pPr>
        <w:spacing w:after="0" w:line="308" w:lineRule="exact"/>
        <w:rPr>
          <w:sz w:val="20"/>
          <w:szCs w:val="20"/>
          <w:color w:val="auto"/>
        </w:rPr>
      </w:pPr>
    </w:p>
    <w:p>
      <w:pPr>
        <w:jc w:val="center"/>
        <w:ind w:left="-1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6" w:lineRule="exact"/>
        <w:rPr>
          <w:sz w:val="20"/>
          <w:szCs w:val="20"/>
          <w:color w:val="auto"/>
        </w:rPr>
      </w:pPr>
    </w:p>
    <w:p>
      <w:pPr>
        <w:jc w:val="center"/>
        <w:ind w:left="-19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Legal Proceedings.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Risk Factors.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Unregistered Sales of Equity Securities and Use of Proceeds.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Defaults upon Senior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Mine Safety Disclosures.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Other Information.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0E32E1"/>
        </w:rPr>
        <w:t>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35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36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37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37</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37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37</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37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37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38</w:t>
      </w:r>
    </w:p>
    <w:p>
      <w:pPr>
        <w:spacing w:after="0" w:line="200" w:lineRule="exact"/>
        <w:rPr>
          <w:sz w:val="20"/>
          <w:szCs w:val="20"/>
          <w:color w:val="auto"/>
        </w:rPr>
      </w:pPr>
    </w:p>
    <w:p>
      <w:pPr>
        <w:sectPr>
          <w:pgSz w:w="11900" w:h="16838" w:orient="portrait"/>
          <w:cols w:equalWidth="0" w:num="3">
            <w:col w:w="660" w:space="520"/>
            <w:col w:w="9140" w:space="720"/>
            <w:col w:w="200"/>
          </w:cols>
          <w:pgMar w:left="320" w:top="808" w:right="339" w:bottom="1440" w:gutter="0" w:footer="0" w:header="0"/>
        </w:sectPr>
      </w:pPr>
    </w:p>
    <w:p>
      <w:pPr>
        <w:spacing w:after="0" w:line="3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Unless otherwise noted or the context indicates otherwise, references in this Quarterly Report on Form 10-Q (this “Quarterly Report”) to the “Company”, “Cronos Group”, “we”, “us” and “our” refer to Cronos Group Inc., its direct and indirect wholly owned subsidiaries and, if applicable, its joint ventures and investments accounted for by the equity method; the term “cannabis” means the plant of any species or subspecies of genus </w:t>
      </w:r>
      <w:r>
        <w:rPr>
          <w:rFonts w:ascii="Times New Roman" w:cs="Times New Roman" w:eastAsia="Times New Roman" w:hAnsi="Times New Roman"/>
          <w:sz w:val="18"/>
          <w:szCs w:val="18"/>
          <w:i w:val="1"/>
          <w:iCs w:val="1"/>
          <w:color w:val="auto"/>
        </w:rPr>
        <w:t>Cannabis</w:t>
      </w:r>
      <w:r>
        <w:rPr>
          <w:rFonts w:ascii="Times New Roman" w:cs="Times New Roman" w:eastAsia="Times New Roman" w:hAnsi="Times New Roman"/>
          <w:sz w:val="18"/>
          <w:szCs w:val="18"/>
          <w:color w:val="auto"/>
        </w:rPr>
        <w:t xml:space="preserve"> and any part of that plant, including all derivatives, extracts, cannabinoids, isomers, acids, salts, and salts of isomers; the term “U.S. hemp” has the meaning given to term “hemp” in the United States (“U.S.”). Agricultural Improvement Act of 2018 (the “2018 Farm Bill”), including hemp-derived cannabidiol (“CBD”); and the term “U.S. Schedule I cannabis” means cannabis excluding U.S. hemp.</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Quarterly Report contains references to our trademarks and trade names and to trademarks and trade names belonging to other entities. Solely for convenience, trademarks and trade names referred to in this Quarterly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or our business by, any other companies. In addition, this Quarterly Report includes website addresses. These website addresses are intended to provide inactive, textual references only. The information on or referred to on these websites is not part of or incorporated into this Quarterly Report.</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All currency amounts in this Quarterly Report are stated in U.S. dollars, which is our reporting currency, unless otherwise noted. All references to “dollars” or “$” are to U.S. dollars; all references to “C$” are to Canadian dollars; all references to “A$” are to Australian dollars; and all references to “ILS” are to New Israeli Shekels.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(Exchange rates are shown as C$ per $)</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780" w:type="dxa"/>
            <w:vAlign w:val="bottom"/>
          </w:tcPr>
          <w:p>
            <w:pPr>
              <w:spacing w:after="0"/>
              <w:rPr>
                <w:sz w:val="16"/>
                <w:szCs w:val="16"/>
                <w:color w:val="auto"/>
              </w:rPr>
            </w:pPr>
          </w:p>
        </w:tc>
      </w:tr>
      <w:tr>
        <w:trPr>
          <w:trHeight w:val="24"/>
        </w:trPr>
        <w:tc>
          <w:tcPr>
            <w:tcW w:w="59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79"/>
        </w:trPr>
        <w:tc>
          <w:tcPr>
            <w:tcW w:w="5900" w:type="dxa"/>
            <w:vAlign w:val="bottom"/>
          </w:tcPr>
          <w:p>
            <w:pPr>
              <w:spacing w:after="0"/>
              <w:rPr>
                <w:sz w:val="15"/>
                <w:szCs w:val="15"/>
                <w:color w:val="auto"/>
              </w:rPr>
            </w:pPr>
          </w:p>
        </w:tc>
        <w:tc>
          <w:tcPr>
            <w:tcW w:w="17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7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22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22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r>
      <w:tr>
        <w:trPr>
          <w:trHeight w:val="231"/>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average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380"/>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ILS per $)</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20" w:type="dxa"/>
            <w:vAlign w:val="bottom"/>
          </w:tcPr>
          <w:p>
            <w:pPr>
              <w:spacing w:after="0"/>
              <w:rPr>
                <w:sz w:val="24"/>
                <w:szCs w:val="24"/>
                <w:color w:val="auto"/>
              </w:rPr>
            </w:pPr>
          </w:p>
        </w:tc>
      </w:tr>
      <w:tr>
        <w:trPr>
          <w:trHeight w:val="24"/>
        </w:trPr>
        <w:tc>
          <w:tcPr>
            <w:tcW w:w="592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6"/>
        </w:trPr>
        <w:tc>
          <w:tcPr>
            <w:tcW w:w="5920" w:type="dxa"/>
            <w:vAlign w:val="bottom"/>
          </w:tcPr>
          <w:p>
            <w:pPr>
              <w:spacing w:after="0"/>
              <w:rPr>
                <w:sz w:val="16"/>
                <w:szCs w:val="16"/>
                <w:color w:val="auto"/>
              </w:rPr>
            </w:pPr>
          </w:p>
        </w:tc>
        <w:tc>
          <w:tcPr>
            <w:tcW w:w="18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5"/>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3.6887</w:t>
            </w:r>
          </w:p>
        </w:tc>
        <w:tc>
          <w:tcPr>
            <w:tcW w:w="2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3.5966</w:t>
            </w:r>
          </w:p>
        </w:tc>
        <w:tc>
          <w:tcPr>
            <w:tcW w:w="2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3.6163</w:t>
            </w:r>
          </w:p>
        </w:tc>
      </w:tr>
      <w:tr>
        <w:trPr>
          <w:trHeight w:val="231"/>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average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3.6617</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summaries of agreements described herein are qualified by the full text of such agreements (certain of which have been filed as exhibits with the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E32E1"/>
              </w:rPr>
              <w:t>Condensed Consolidated Balance Sheets as of March 31, 2024 (Unaudited) and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4</w:t>
            </w:r>
          </w:p>
        </w:tc>
        <w:tc>
          <w:tcPr>
            <w:tcW w:w="0" w:type="dxa"/>
            <w:vAlign w:val="bottom"/>
          </w:tcPr>
          <w:p>
            <w:pPr>
              <w:spacing w:after="0"/>
              <w:rPr>
                <w:sz w:val="1"/>
                <w:szCs w:val="1"/>
                <w:color w:val="auto"/>
              </w:rPr>
            </w:pPr>
          </w:p>
        </w:tc>
      </w:tr>
      <w:tr>
        <w:trPr>
          <w:trHeight w:val="20"/>
        </w:trPr>
        <w:tc>
          <w:tcPr>
            <w:tcW w:w="370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660" w:type="dxa"/>
            <w:vAlign w:val="bottom"/>
            <w:shd w:val="clear" w:color="auto" w:fill="0E32E1"/>
          </w:tcPr>
          <w:p>
            <w:pPr>
              <w:spacing w:after="0" w:line="20" w:lineRule="exact"/>
              <w:rPr>
                <w:sz w:val="1"/>
                <w:szCs w:val="1"/>
                <w:color w:val="auto"/>
              </w:rPr>
            </w:pPr>
          </w:p>
        </w:tc>
        <w:tc>
          <w:tcPr>
            <w:tcW w:w="2240" w:type="dxa"/>
            <w:vAlign w:val="bottom"/>
            <w:shd w:val="clear" w:color="auto" w:fill="0E32E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980" w:type="dxa"/>
            <w:vAlign w:val="bottom"/>
            <w:tcBorders>
              <w:bottom w:val="single" w:sz="8" w:color="0E32E1"/>
            </w:tcBorders>
            <w:gridSpan w:val="7"/>
          </w:tcPr>
          <w:p>
            <w:pPr>
              <w:spacing w:after="0" w:line="205" w:lineRule="exact"/>
              <w:rPr>
                <w:sz w:val="20"/>
                <w:szCs w:val="20"/>
                <w:color w:val="auto"/>
              </w:rPr>
            </w:pPr>
            <w:r>
              <w:rPr>
                <w:rFonts w:ascii="Times New Roman" w:cs="Times New Roman" w:eastAsia="Times New Roman" w:hAnsi="Times New Roman"/>
                <w:sz w:val="18"/>
                <w:szCs w:val="18"/>
                <w:color w:val="0E32E1"/>
                <w:w w:val="97"/>
              </w:rPr>
              <w:t>Condensed Consolidated Statements of Net Loss and Comprehensive Loss for the three months ended March 31, 2024 and 2023 (Unaudited)</w:t>
            </w:r>
          </w:p>
        </w:tc>
        <w:tc>
          <w:tcPr>
            <w:tcW w:w="560" w:type="dxa"/>
            <w:vAlign w:val="bottom"/>
          </w:tcPr>
          <w:p>
            <w:pPr>
              <w:spacing w:after="0"/>
              <w:rPr>
                <w:sz w:val="17"/>
                <w:szCs w:val="17"/>
                <w:color w:val="auto"/>
              </w:rPr>
            </w:pPr>
          </w:p>
        </w:tc>
        <w:tc>
          <w:tcPr>
            <w:tcW w:w="6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0E32E1"/>
              </w:rPr>
              <w:t>5</w:t>
            </w:r>
          </w:p>
        </w:tc>
        <w:tc>
          <w:tcPr>
            <w:tcW w:w="0" w:type="dxa"/>
            <w:vAlign w:val="bottom"/>
          </w:tcPr>
          <w:p>
            <w:pPr>
              <w:spacing w:after="0"/>
              <w:rPr>
                <w:sz w:val="1"/>
                <w:szCs w:val="1"/>
                <w:color w:val="auto"/>
              </w:rPr>
            </w:pPr>
          </w:p>
        </w:tc>
      </w:tr>
      <w:tr>
        <w:trPr>
          <w:trHeight w:val="205"/>
        </w:trPr>
        <w:tc>
          <w:tcPr>
            <w:tcW w:w="1054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 xml:space="preserve">Condensed Consolidated Statements of Changes in Equity </w:t>
            </w:r>
            <w:r>
              <w:rPr>
                <w:rFonts w:ascii="Times New Roman" w:cs="Times New Roman" w:eastAsia="Times New Roman" w:hAnsi="Times New Roman"/>
                <w:sz w:val="18"/>
                <w:szCs w:val="18"/>
                <w:color w:val="0E32E1"/>
              </w:rPr>
              <w:t>for the three months ended March 31, 2024 and 2023 (Unaudited)</w:t>
            </w:r>
          </w:p>
        </w:tc>
        <w:tc>
          <w:tcPr>
            <w:tcW w:w="6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0E32E1"/>
              </w:rPr>
              <w:t>6</w:t>
            </w:r>
          </w:p>
        </w:tc>
        <w:tc>
          <w:tcPr>
            <w:tcW w:w="0" w:type="dxa"/>
            <w:vAlign w:val="bottom"/>
          </w:tcPr>
          <w:p>
            <w:pPr>
              <w:spacing w:after="0"/>
              <w:rPr>
                <w:sz w:val="1"/>
                <w:szCs w:val="1"/>
                <w:color w:val="auto"/>
              </w:rPr>
            </w:pPr>
          </w:p>
        </w:tc>
      </w:tr>
      <w:tr>
        <w:trPr>
          <w:trHeight w:val="20"/>
        </w:trPr>
        <w:tc>
          <w:tcPr>
            <w:tcW w:w="3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shd w:val="clear" w:color="auto" w:fill="0E32E1"/>
          </w:tcPr>
          <w:p>
            <w:pPr>
              <w:spacing w:after="0" w:line="20" w:lineRule="exact"/>
              <w:rPr>
                <w:sz w:val="1"/>
                <w:szCs w:val="1"/>
                <w:color w:val="auto"/>
              </w:rPr>
            </w:pPr>
          </w:p>
        </w:tc>
        <w:tc>
          <w:tcPr>
            <w:tcW w:w="3520" w:type="dxa"/>
            <w:vAlign w:val="bottom"/>
            <w:gridSpan w:val="2"/>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54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 xml:space="preserve">Condensed Consolidated Statements of Cash Flows </w:t>
            </w:r>
            <w:r>
              <w:rPr>
                <w:rFonts w:ascii="Times New Roman" w:cs="Times New Roman" w:eastAsia="Times New Roman" w:hAnsi="Times New Roman"/>
                <w:sz w:val="18"/>
                <w:szCs w:val="18"/>
                <w:color w:val="0E32E1"/>
              </w:rPr>
              <w:t>for the three months ended March 31, 2024 and 2023 (Unaudited)</w:t>
            </w:r>
          </w:p>
        </w:tc>
        <w:tc>
          <w:tcPr>
            <w:tcW w:w="6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0E32E1"/>
              </w:rPr>
              <w:t>7</w:t>
            </w:r>
          </w:p>
        </w:tc>
        <w:tc>
          <w:tcPr>
            <w:tcW w:w="0" w:type="dxa"/>
            <w:vAlign w:val="bottom"/>
          </w:tcPr>
          <w:p>
            <w:pPr>
              <w:spacing w:after="0"/>
              <w:rPr>
                <w:sz w:val="1"/>
                <w:szCs w:val="1"/>
                <w:color w:val="auto"/>
              </w:rPr>
            </w:pPr>
          </w:p>
        </w:tc>
      </w:tr>
      <w:tr>
        <w:trPr>
          <w:trHeight w:val="20"/>
        </w:trPr>
        <w:tc>
          <w:tcPr>
            <w:tcW w:w="37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E32E1"/>
          </w:tcPr>
          <w:p>
            <w:pPr>
              <w:spacing w:after="0" w:line="20" w:lineRule="exact"/>
              <w:rPr>
                <w:sz w:val="1"/>
                <w:szCs w:val="1"/>
                <w:color w:val="auto"/>
              </w:rPr>
            </w:pPr>
          </w:p>
        </w:tc>
        <w:tc>
          <w:tcPr>
            <w:tcW w:w="3520" w:type="dxa"/>
            <w:vAlign w:val="bottom"/>
            <w:gridSpan w:val="2"/>
            <w:shd w:val="clear" w:color="auto" w:fill="0E32E1"/>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E32E1"/>
              </w:rPr>
              <w:t>8</w:t>
            </w:r>
          </w:p>
        </w:tc>
        <w:tc>
          <w:tcPr>
            <w:tcW w:w="0" w:type="dxa"/>
            <w:vAlign w:val="bottom"/>
          </w:tcPr>
          <w:p>
            <w:pPr>
              <w:spacing w:after="0" w:line="20" w:lineRule="exact"/>
              <w:rPr>
                <w:sz w:val="1"/>
                <w:szCs w:val="1"/>
                <w:color w:val="auto"/>
              </w:rPr>
            </w:pPr>
          </w:p>
        </w:tc>
      </w:tr>
      <w:tr>
        <w:trPr>
          <w:trHeight w:val="219"/>
        </w:trPr>
        <w:tc>
          <w:tcPr>
            <w:tcW w:w="482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7"/>
              </w:rPr>
              <w:t xml:space="preserve">Notes to </w:t>
            </w:r>
            <w:r>
              <w:rPr>
                <w:rFonts w:ascii="Times New Roman" w:cs="Times New Roman" w:eastAsia="Times New Roman" w:hAnsi="Times New Roman"/>
                <w:sz w:val="18"/>
                <w:szCs w:val="18"/>
                <w:color w:val="0E32E1"/>
                <w:highlight w:val="white"/>
                <w:w w:val="97"/>
              </w:rPr>
              <w:t>Condensed</w:t>
            </w:r>
            <w:r>
              <w:rPr>
                <w:rFonts w:ascii="Times New Roman" w:cs="Times New Roman" w:eastAsia="Times New Roman" w:hAnsi="Times New Roman"/>
                <w:sz w:val="18"/>
                <w:szCs w:val="18"/>
                <w:color w:val="0E32E1"/>
                <w:w w:val="97"/>
              </w:rPr>
              <w:t xml:space="preserve"> Consolidated Financial Statements (Unaudited)</w:t>
            </w:r>
          </w:p>
        </w:tc>
        <w:tc>
          <w:tcPr>
            <w:tcW w:w="5720" w:type="dxa"/>
            <w:vAlign w:val="bottom"/>
            <w:gridSpan w:val="5"/>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3"/>
        </w:trPr>
        <w:tc>
          <w:tcPr>
            <w:tcW w:w="736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i w:val="1"/>
                <w:iCs w:val="1"/>
                <w:color w:val="auto"/>
              </w:rPr>
              <w:t>(In thousands of U.S. dollars, except share amounts, unaudited)</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Borders>
              <w:bottom w:val="single" w:sz="8" w:color="0000FF"/>
            </w:tcBorders>
          </w:tcPr>
          <w:p>
            <w:pPr>
              <w:jc w:val="right"/>
              <w:spacing w:after="0" w:line="193" w:lineRule="exact"/>
              <w:rPr>
                <w:sz w:val="20"/>
                <w:szCs w:val="20"/>
                <w:color w:val="auto"/>
              </w:rPr>
            </w:pPr>
            <w:r>
              <w:rPr>
                <w:rFonts w:ascii="Times New Roman" w:cs="Times New Roman" w:eastAsia="Times New Roman" w:hAnsi="Times New Roman"/>
                <w:sz w:val="18"/>
                <w:szCs w:val="18"/>
                <w:color w:val="0000FF"/>
                <w:w w:val="94"/>
              </w:rPr>
              <w:t>Table of Contents</w:t>
            </w:r>
          </w:p>
        </w:tc>
        <w:tc>
          <w:tcPr>
            <w:tcW w:w="20" w:type="dxa"/>
            <w:vAlign w:val="bottom"/>
          </w:tcPr>
          <w:p>
            <w:pPr>
              <w:spacing w:after="0"/>
              <w:rPr>
                <w:sz w:val="16"/>
                <w:szCs w:val="16"/>
                <w:color w:val="auto"/>
              </w:rPr>
            </w:pPr>
          </w:p>
        </w:tc>
      </w:tr>
      <w:tr>
        <w:trPr>
          <w:trHeight w:val="777"/>
        </w:trPr>
        <w:tc>
          <w:tcPr>
            <w:tcW w:w="7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60" w:type="dxa"/>
            <w:vAlign w:val="bottom"/>
          </w:tcPr>
          <w:p>
            <w:pPr>
              <w:spacing w:after="0"/>
              <w:rPr>
                <w:sz w:val="24"/>
                <w:szCs w:val="24"/>
                <w:color w:val="auto"/>
              </w:rPr>
            </w:pPr>
          </w:p>
        </w:tc>
        <w:tc>
          <w:tcPr>
            <w:tcW w:w="170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 w:type="dxa"/>
            <w:vAlign w:val="bottom"/>
          </w:tcPr>
          <w:p>
            <w:pPr>
              <w:spacing w:after="0"/>
              <w:rPr>
                <w:sz w:val="24"/>
                <w:szCs w:val="24"/>
                <w:color w:val="auto"/>
              </w:rPr>
            </w:pPr>
          </w:p>
        </w:tc>
      </w:tr>
      <w:tr>
        <w:trPr>
          <w:trHeight w:val="24"/>
        </w:trPr>
        <w:tc>
          <w:tcPr>
            <w:tcW w:w="7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5"/>
        </w:trPr>
        <w:tc>
          <w:tcPr>
            <w:tcW w:w="7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855,114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669,291</w:t>
            </w:r>
          </w:p>
        </w:tc>
        <w:tc>
          <w:tcPr>
            <w:tcW w:w="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192,237</w:t>
            </w: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20" w:type="dxa"/>
            <w:vAlign w:val="bottom"/>
            <w:shd w:val="clear" w:color="auto" w:fill="CCEEFF"/>
          </w:tcPr>
          <w:p>
            <w:pPr>
              <w:spacing w:after="0"/>
              <w:rPr>
                <w:sz w:val="19"/>
                <w:szCs w:val="19"/>
                <w:color w:val="auto"/>
              </w:rPr>
            </w:pPr>
          </w:p>
        </w:tc>
      </w:tr>
      <w:tr>
        <w:trPr>
          <w:trHeight w:val="225"/>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loans receivable, net</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30,495</w:t>
            </w:r>
          </w:p>
        </w:tc>
        <w:tc>
          <w:tcPr>
            <w:tcW w:w="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Held-for-sale assets</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r>
      <w:tr>
        <w:trPr>
          <w:trHeight w:val="218"/>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933,306</w:t>
            </w: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 net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20" w:type="dxa"/>
            <w:vAlign w:val="bottom"/>
            <w:shd w:val="clear" w:color="auto" w:fill="CCEEFF"/>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loans receivable, net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69,036</w:t>
            </w:r>
          </w:p>
        </w:tc>
        <w:tc>
          <w:tcPr>
            <w:tcW w:w="20" w:type="dxa"/>
            <w:vAlign w:val="bottom"/>
            <w:shd w:val="clear" w:color="auto" w:fill="CCEEFF"/>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59,468</w:t>
            </w: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 w:type="dxa"/>
            <w:vAlign w:val="bottom"/>
            <w:shd w:val="clear" w:color="auto" w:fill="CCEEFF"/>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20" w:type="dxa"/>
            <w:vAlign w:val="bottom"/>
            <w:shd w:val="clear" w:color="auto" w:fill="CCEEFF"/>
          </w:tcPr>
          <w:p>
            <w:pPr>
              <w:spacing w:after="0"/>
              <w:rPr>
                <w:sz w:val="19"/>
                <w:szCs w:val="19"/>
                <w:color w:val="auto"/>
              </w:rPr>
            </w:pPr>
          </w:p>
        </w:tc>
      </w:tr>
      <w:tr>
        <w:trPr>
          <w:trHeight w:val="225"/>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tcPr>
          <w:p>
            <w:pPr>
              <w:spacing w:after="0"/>
              <w:rPr>
                <w:sz w:val="19"/>
                <w:szCs w:val="19"/>
                <w:color w:val="auto"/>
              </w:rPr>
            </w:pPr>
          </w:p>
        </w:tc>
      </w:tr>
      <w:tr>
        <w:trPr>
          <w:trHeight w:val="243"/>
        </w:trPr>
        <w:tc>
          <w:tcPr>
            <w:tcW w:w="7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1,108,535</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1,140,085</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7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lease obligation</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19"/>
                <w:szCs w:val="19"/>
                <w:color w:val="auto"/>
              </w:rPr>
            </w:pPr>
          </w:p>
        </w:tc>
      </w:tr>
      <w:tr>
        <w:trPr>
          <w:trHeight w:val="225"/>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Current portion due to non-controlling interests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Borders>
              <w:bottom w:val="single" w:sz="8" w:color="auto"/>
            </w:tcBorders>
          </w:tcPr>
          <w:p>
            <w:pPr>
              <w:spacing w:after="0"/>
              <w:rPr>
                <w:sz w:val="19"/>
                <w:szCs w:val="19"/>
                <w:color w:val="auto"/>
              </w:rPr>
            </w:pPr>
          </w:p>
        </w:tc>
      </w:tr>
      <w:tr>
        <w:trPr>
          <w:trHeight w:val="219"/>
        </w:trPr>
        <w:tc>
          <w:tcPr>
            <w:tcW w:w="7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41,399</w:t>
            </w:r>
          </w:p>
        </w:tc>
        <w:tc>
          <w:tcPr>
            <w:tcW w:w="20" w:type="dxa"/>
            <w:vAlign w:val="bottom"/>
            <w:shd w:val="clear" w:color="auto" w:fill="CCEEFF"/>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due to non-controlling interests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tcPr>
          <w:p>
            <w:pPr>
              <w:spacing w:after="0"/>
              <w:rPr>
                <w:sz w:val="19"/>
                <w:szCs w:val="19"/>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lease obligation</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0" w:type="dxa"/>
            <w:vAlign w:val="bottom"/>
            <w:tcBorders>
              <w:bottom w:val="single" w:sz="8" w:color="auto"/>
            </w:tcBorders>
            <w:shd w:val="clear" w:color="auto" w:fill="CCEEFF"/>
          </w:tcPr>
          <w:p>
            <w:pPr>
              <w:spacing w:after="0"/>
              <w:rPr>
                <w:sz w:val="19"/>
                <w:szCs w:val="19"/>
                <w:color w:val="auto"/>
              </w:rPr>
            </w:pPr>
          </w:p>
        </w:tc>
      </w:tr>
      <w:tr>
        <w:trPr>
          <w:trHeight w:val="21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43,961</w:t>
            </w:r>
          </w:p>
        </w:tc>
        <w:tc>
          <w:tcPr>
            <w:tcW w:w="20" w:type="dxa"/>
            <w:vAlign w:val="bottom"/>
          </w:tcPr>
          <w:p>
            <w:pPr>
              <w:spacing w:after="0"/>
              <w:rPr>
                <w:sz w:val="19"/>
                <w:szCs w:val="19"/>
                <w:color w:val="auto"/>
              </w:rPr>
            </w:pPr>
          </w:p>
        </w:tc>
      </w:tr>
      <w:tr>
        <w:trPr>
          <w:trHeight w:val="93"/>
        </w:trPr>
        <w:tc>
          <w:tcPr>
            <w:tcW w:w="7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bl>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277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 capital (authorized for issue as of March 31, 2024 and December 31, 2023: unlimited; shares</w:t>
      </w:r>
    </w:p>
    <w:p>
      <w:pPr>
        <w:ind w:left="140" w:right="540" w:hanging="118"/>
        <w:spacing w:after="0" w:line="253" w:lineRule="auto"/>
        <w:rPr>
          <w:sz w:val="20"/>
          <w:szCs w:val="20"/>
          <w:color w:val="auto"/>
        </w:rPr>
      </w:pPr>
      <w:r>
        <w:rPr>
          <w:rFonts w:ascii="Times New Roman" w:cs="Times New Roman" w:eastAsia="Times New Roman" w:hAnsi="Times New Roman"/>
          <w:sz w:val="18"/>
          <w:szCs w:val="18"/>
          <w:color w:val="auto"/>
        </w:rPr>
        <w:t>outstanding as of March 31, 2024 and December 31, 2023: 382,011,178 and 381,298,853, respectively)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34860" cy="142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 (loss)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32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95"/>
              </w:rPr>
              <w:t>615,625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613,725</w:t>
            </w:r>
          </w:p>
        </w:tc>
      </w:tr>
      <w:tr>
        <w:trPr>
          <w:trHeight w:val="325"/>
        </w:trPr>
        <w:tc>
          <w:tcPr>
            <w:tcW w:w="132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48,048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48,449</w:t>
            </w:r>
          </w:p>
        </w:tc>
      </w:tr>
      <w:tr>
        <w:trPr>
          <w:trHeight w:val="225"/>
        </w:trPr>
        <w:tc>
          <w:tcPr>
            <w:tcW w:w="132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95"/>
              </w:rPr>
              <w:t>414,478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416,719</w:t>
            </w:r>
          </w:p>
        </w:tc>
      </w:tr>
      <w:tr>
        <w:trPr>
          <w:trHeight w:val="228"/>
        </w:trPr>
        <w:tc>
          <w:tcPr>
            <w:tcW w:w="13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(1,793)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20,678</w:t>
            </w:r>
          </w:p>
        </w:tc>
      </w:tr>
    </w:tbl>
    <w:p>
      <w:pPr>
        <w:spacing w:after="0" w:line="1" w:lineRule="exact"/>
        <w:rPr>
          <w:sz w:val="20"/>
          <w:szCs w:val="20"/>
          <w:color w:val="auto"/>
        </w:rPr>
      </w:pPr>
    </w:p>
    <w:p>
      <w:pPr>
        <w:sectPr>
          <w:pgSz w:w="11900" w:h="16838" w:orient="portrait"/>
          <w:cols w:equalWidth="0" w:num="2">
            <w:col w:w="7860" w:space="720"/>
            <w:col w:w="2660"/>
          </w:cols>
          <w:pgMar w:left="320" w:top="185"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73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equity attributable to shareholders of Cronos Group</w:t>
            </w:r>
          </w:p>
        </w:tc>
        <w:tc>
          <w:tcPr>
            <w:tcW w:w="6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1,076,358</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1,099,571</w:t>
            </w:r>
          </w:p>
        </w:tc>
      </w:tr>
      <w:tr>
        <w:trPr>
          <w:trHeight w:val="225"/>
        </w:trPr>
        <w:tc>
          <w:tcPr>
            <w:tcW w:w="73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1,072,778</w:t>
            </w:r>
          </w:p>
        </w:tc>
        <w:tc>
          <w:tcPr>
            <w:tcW w:w="1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1,096,124</w:t>
            </w:r>
          </w:p>
        </w:tc>
      </w:tr>
      <w:tr>
        <w:trPr>
          <w:trHeight w:val="21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1,108,535</w:t>
            </w: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1,140,085</w:t>
            </w:r>
          </w:p>
        </w:tc>
      </w:tr>
      <w:tr>
        <w:trPr>
          <w:trHeight w:val="20"/>
        </w:trPr>
        <w:tc>
          <w:tcPr>
            <w:tcW w:w="7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interim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Net Loss and Comprehensive Loss</w:t>
      </w:r>
    </w:p>
    <w:p>
      <w:pPr>
        <w:spacing w:after="0" w:line="22" w:lineRule="exact"/>
        <w:rPr>
          <w:sz w:val="20"/>
          <w:szCs w:val="20"/>
          <w:color w:val="auto"/>
        </w:rPr>
      </w:pPr>
    </w:p>
    <w:p>
      <w:pPr>
        <w:ind w:left="20"/>
        <w:spacing w:after="0"/>
        <w:tabs>
          <w:tab w:leader="none" w:pos="996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amounts, unaudited)</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before excise taxes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26,554</w:t>
            </w:r>
          </w:p>
        </w:tc>
      </w:tr>
      <w:tr>
        <w:trPr>
          <w:trHeight w:val="225"/>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Excise taxes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w:t>
            </w:r>
          </w:p>
        </w:tc>
      </w:tr>
      <w:tr>
        <w:trPr>
          <w:trHeight w:val="225"/>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16,568</w:t>
            </w: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25"/>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r>
      <w:tr>
        <w:trPr>
          <w:trHeight w:val="225"/>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25"/>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r>
      <w:tr>
        <w:trPr>
          <w:trHeight w:val="225"/>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25"/>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5"/>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23,696</w:t>
            </w: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(20,769)</w:t>
            </w:r>
          </w:p>
        </w:tc>
      </w:tr>
      <w:tr>
        <w:trPr>
          <w:trHeight w:val="225"/>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w:t>
            </w:r>
          </w:p>
        </w:tc>
      </w:tr>
      <w:tr>
        <w:trPr>
          <w:trHeight w:val="225"/>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revaluation of derivative liabilities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5"/>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of income (loss) from equity method investments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5"/>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revaluation of financial instruments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r>
      <w:tr>
        <w:trPr>
          <w:trHeight w:val="225"/>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 on other investments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25"/>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8"/>
        </w:trPr>
        <w:tc>
          <w:tcPr>
            <w:tcW w:w="8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(19,471)</w:t>
            </w:r>
          </w:p>
        </w:tc>
      </w:tr>
      <w:tr>
        <w:trPr>
          <w:trHeight w:val="225"/>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w:t>
            </w:r>
          </w:p>
        </w:tc>
      </w:tr>
      <w:tr>
        <w:trPr>
          <w:trHeight w:val="225"/>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19"/>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(19,257)</w:t>
            </w:r>
          </w:p>
        </w:tc>
      </w:tr>
      <w:tr>
        <w:trPr>
          <w:trHeight w:val="218"/>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Cronos Group</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(19,257)</w:t>
            </w:r>
          </w:p>
        </w:tc>
      </w:tr>
      <w:tr>
        <w:trPr>
          <w:trHeight w:val="225"/>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8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exchange gain (loss) on translation</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(16,843)</w:t>
            </w:r>
          </w:p>
        </w:tc>
      </w:tr>
      <w:tr>
        <w:trPr>
          <w:trHeight w:val="225"/>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4"/>
        </w:trPr>
        <w:tc>
          <w:tcPr>
            <w:tcW w:w="8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Cronos Group</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 continuing operations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5"/>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 discontinued operations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 total</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interim financial statements.</w:t>
      </w:r>
    </w:p>
    <w:p>
      <w:pPr>
        <w:sectPr>
          <w:pgSz w:w="11900" w:h="16838" w:orient="portrait"/>
          <w:cols w:equalWidth="0" w:num="1">
            <w:col w:w="11240"/>
          </w:cols>
          <w:pgMar w:left="320" w:top="185" w:right="3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Equity</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 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3"/>
        </w:trPr>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9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381,298,853</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613,725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416,719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$ 1,096,124</w:t>
            </w:r>
          </w:p>
        </w:tc>
        <w:tc>
          <w:tcPr>
            <w:tcW w:w="0" w:type="dxa"/>
            <w:vAlign w:val="bottom"/>
          </w:tcPr>
          <w:p>
            <w:pPr>
              <w:spacing w:after="0"/>
              <w:rPr>
                <w:sz w:val="1"/>
                <w:szCs w:val="1"/>
                <w:color w:val="auto"/>
              </w:rPr>
            </w:pPr>
          </w:p>
        </w:tc>
      </w:tr>
      <w:tr>
        <w:trPr>
          <w:trHeight w:val="225"/>
        </w:trPr>
        <w:tc>
          <w:tcPr>
            <w:tcW w:w="4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Activities relating to share-based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25"/>
        </w:trPr>
        <w:tc>
          <w:tcPr>
            <w:tcW w:w="4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25"/>
        </w:trPr>
        <w:tc>
          <w:tcPr>
            <w:tcW w:w="4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exchange gain on translation</w:t>
            </w: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0" w:type="dxa"/>
            <w:vAlign w:val="bottom"/>
          </w:tcPr>
          <w:p>
            <w:pPr>
              <w:spacing w:after="0"/>
              <w:rPr>
                <w:sz w:val="1"/>
                <w:szCs w:val="1"/>
                <w:color w:val="auto"/>
              </w:rPr>
            </w:pPr>
          </w:p>
        </w:tc>
      </w:tr>
      <w:tr>
        <w:trPr>
          <w:trHeight w:val="243"/>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382,011,178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615,625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414,478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$ 1,072,778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3"/>
        </w:trPr>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9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380,575,403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611,318</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490,682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$ 1,140,964</w:t>
            </w:r>
          </w:p>
        </w:tc>
        <w:tc>
          <w:tcPr>
            <w:tcW w:w="0" w:type="dxa"/>
            <w:vAlign w:val="bottom"/>
          </w:tcPr>
          <w:p>
            <w:pPr>
              <w:spacing w:after="0"/>
              <w:rPr>
                <w:sz w:val="1"/>
                <w:szCs w:val="1"/>
                <w:color w:val="auto"/>
              </w:rPr>
            </w:pPr>
          </w:p>
        </w:tc>
      </w:tr>
      <w:tr>
        <w:trPr>
          <w:trHeight w:val="225"/>
        </w:trPr>
        <w:tc>
          <w:tcPr>
            <w:tcW w:w="4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Activities relating to share-based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25"/>
        </w:trPr>
        <w:tc>
          <w:tcPr>
            <w:tcW w:w="4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(19,169)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(19,257)</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exchange gain on translation</w:t>
            </w: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3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380,815,921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612,235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471,513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$ 1,126,400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interim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5"/>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Cronos Group Inc.</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5"/>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193"/>
        </w:trPr>
        <w:tc>
          <w:tcPr>
            <w:tcW w:w="702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i w:val="1"/>
                <w:iCs w:val="1"/>
                <w:color w:val="auto"/>
              </w:rPr>
              <w:t>(In thousands of U.S. dollars, except share amounts, unaudited)</w:t>
            </w: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gridSpan w:val="3"/>
          </w:tcPr>
          <w:p>
            <w:pPr>
              <w:ind w:left="600"/>
              <w:spacing w:after="0" w:line="193" w:lineRule="exact"/>
              <w:rPr>
                <w:sz w:val="20"/>
                <w:szCs w:val="20"/>
                <w:color w:val="auto"/>
              </w:rPr>
            </w:pPr>
            <w:r>
              <w:rPr>
                <w:rFonts w:ascii="Times New Roman" w:cs="Times New Roman" w:eastAsia="Times New Roman" w:hAnsi="Times New Roman"/>
                <w:sz w:val="18"/>
                <w:szCs w:val="18"/>
                <w:color w:val="0000FF"/>
                <w:w w:val="94"/>
              </w:rPr>
              <w:t>Table of Contents</w:t>
            </w:r>
          </w:p>
        </w:tc>
      </w:tr>
      <w:tr>
        <w:trPr>
          <w:trHeight w:val="777"/>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94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40" w:type="dxa"/>
            <w:vAlign w:val="bottom"/>
            <w:tcBorders>
              <w:top w:val="single" w:sz="8" w:color="0000FF"/>
            </w:tcBorders>
            <w:gridSpan w:val="2"/>
          </w:tcPr>
          <w:p>
            <w:pPr>
              <w:spacing w:after="0"/>
              <w:rPr>
                <w:sz w:val="24"/>
                <w:szCs w:val="24"/>
                <w:color w:val="auto"/>
              </w:rPr>
            </w:pPr>
          </w:p>
        </w:tc>
      </w:tr>
      <w:tr>
        <w:trPr>
          <w:trHeight w:val="24"/>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80" w:type="dxa"/>
            <w:vAlign w:val="bottom"/>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4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(19,257)</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loss on other investments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investments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revaluation of derivative liabilities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expected credit losses on long-term financial assets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receivable</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payable</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480" w:type="dxa"/>
            <w:vAlign w:val="bottom"/>
          </w:tcPr>
          <w:p>
            <w:pPr>
              <w:spacing w:after="0"/>
              <w:rPr>
                <w:sz w:val="19"/>
                <w:szCs w:val="19"/>
                <w:color w:val="auto"/>
              </w:rPr>
            </w:pPr>
          </w:p>
        </w:tc>
      </w:tr>
      <w:tr>
        <w:trPr>
          <w:trHeight w:val="218"/>
        </w:trPr>
        <w:tc>
          <w:tcPr>
            <w:tcW w:w="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(47,693)</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0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(422,612)</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113,355</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repayment on loan receivables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r>
      <w:tr>
        <w:trPr>
          <w:trHeight w:val="218"/>
        </w:trPr>
        <w:tc>
          <w:tcPr>
            <w:tcW w:w="20" w:type="dxa"/>
            <w:vAlign w:val="bottom"/>
          </w:tcPr>
          <w:p>
            <w:pPr>
              <w:spacing w:after="0"/>
              <w:rPr>
                <w:sz w:val="19"/>
                <w:szCs w:val="19"/>
                <w:color w:val="auto"/>
              </w:rPr>
            </w:pPr>
          </w:p>
        </w:tc>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189,556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(303,812)</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Withholding taxes paid on share-based awards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80" w:type="dxa"/>
            <w:vAlign w:val="bottom"/>
          </w:tcPr>
          <w:p>
            <w:pPr>
              <w:spacing w:after="0"/>
              <w:rPr>
                <w:sz w:val="19"/>
                <w:szCs w:val="19"/>
                <w:color w:val="auto"/>
              </w:rPr>
            </w:pPr>
          </w:p>
        </w:tc>
      </w:tr>
      <w:tr>
        <w:trPr>
          <w:trHeight w:val="218"/>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 on cash and cash equivalents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48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185,823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(350,977)</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669,291</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764,644</w:t>
            </w:r>
          </w:p>
        </w:tc>
        <w:tc>
          <w:tcPr>
            <w:tcW w:w="48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855,114</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413,667</w:t>
            </w:r>
          </w:p>
        </w:tc>
        <w:tc>
          <w:tcPr>
            <w:tcW w:w="4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0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received</w:t>
            </w: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48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spacing w:after="0"/>
              <w:rPr>
                <w:sz w:val="20"/>
                <w:szCs w:val="20"/>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480" w:type="dxa"/>
            <w:vAlign w:val="bottom"/>
          </w:tcPr>
          <w:p>
            <w:pPr>
              <w:spacing w:after="0"/>
              <w:rPr>
                <w:sz w:val="20"/>
                <w:szCs w:val="20"/>
                <w:color w:val="auto"/>
              </w:rPr>
            </w:pPr>
          </w:p>
        </w:tc>
      </w:tr>
    </w:tbl>
    <w:p>
      <w:pPr>
        <w:spacing w:after="0" w:line="200" w:lineRule="exact"/>
        <w:rPr>
          <w:sz w:val="20"/>
          <w:szCs w:val="20"/>
          <w:color w:val="auto"/>
        </w:rPr>
      </w:pPr>
    </w:p>
    <w:p>
      <w:pPr>
        <w:spacing w:after="0" w:line="2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notes to condensed consolidated interim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85" w:right="35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8" w:lineRule="exact"/>
        <w:rPr>
          <w:sz w:val="20"/>
          <w:szCs w:val="20"/>
          <w:color w:val="auto"/>
        </w:rPr>
      </w:pPr>
    </w:p>
    <w:p>
      <w:pPr>
        <w:ind w:left="20"/>
        <w:spacing w:after="0"/>
        <w:tabs>
          <w:tab w:leader="none" w:pos="938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Background, Basis of Presentation, and Summary of Significant Accounting Policies</w:t>
      </w:r>
    </w:p>
    <w:p>
      <w:pPr>
        <w:spacing w:after="0" w:line="220" w:lineRule="exact"/>
        <w:rPr>
          <w:sz w:val="20"/>
          <w:szCs w:val="20"/>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Cronos Group Inc. (“Cronos” or the “Company”) is incorporated in the province of British Columbia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with principal executive offices at 111 Peter St., Suite 300, Toronto, Ontario, M5V 2H1. The Company’s common shares are listed on the Toronto Stock Exchange (“TSX”) and Nasdaq Global Market (“Nasdaq”) under the ticker symbol “CRON.”</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PEACE NATURALS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40" w:hanging="634"/>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condensed consolidated interim financial statements of Cronos are unaudited. They have been prepared in accordance with Generally Accepted Accounting Principles in the United States (“U.S. GAAP”) for interim financial information and with applicable rules and regulations of the U.S. Securities and Exchange Commission (the “SEC”) relating to interim financial statements. Accordingly, they do not include all of the information and footnotes required by U.S. GAAP for complete financial statements. In the opinion of management, all adjustments (consisting of normal recurring adjustments) considered necessary for a fair presentation have been included. Operating results for the three months ended March 31, 2024 are not necessarily indicative of the results that may be expected for any other reporting period.</w:t>
      </w:r>
    </w:p>
    <w:p>
      <w:pPr>
        <w:spacing w:after="0" w:line="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These condensed consolidated interim financial statements should be read in conjunction with the Company’s audited consolidated financial statements and related notes included in its Annual Report on Form 10-K for the year ended December 31, 2023 (the “Annual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 of our condensed consolidated interim financial statements.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had no effect on the reported results of operations and ending shareholders’ equity.</w:t>
      </w:r>
    </w:p>
    <w:p>
      <w:pPr>
        <w:spacing w:after="0" w:line="90" w:lineRule="exact"/>
        <w:rPr>
          <w:sz w:val="20"/>
          <w:szCs w:val="20"/>
          <w:color w:val="auto"/>
        </w:rPr>
      </w:pPr>
    </w:p>
    <w:p>
      <w:pPr>
        <w:ind w:left="640" w:hanging="634"/>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2023, the Company exited its U.S. hemp-derived cannabinoid product operations. The exit of the U.S. operations represented a strategic shift that has a major effect on the Company’s operations and financial results, and as such, qualifies for reporting as discontinued operations in our condensed consolidated statements of net loss and comprehensive loss. Prior period amounts have been reclassified to reflect the discontinued operations classification of the U.S. operations. For more information, see Note 2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640" w:hanging="634"/>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0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Segment reporting is prepared on the same basis that the Company’s chief operating decision maker (the “CODM”) manages the business, makes operating decisions and assesses the Company’s performance. Prior to the second quarter of 2023, the Company reported results for two reportable segments, the U.S. and Rest of World. In the second quarter of 2023, as a result of the Company’s exit of its then-existing U.S. operations, the Company determined that it has one operating segment and therefore one reportable segment, which is comprised of operations </w:t>
      </w:r>
      <w:r>
        <w:rPr>
          <w:rFonts w:ascii="Times New Roman" w:cs="Times New Roman" w:eastAsia="Times New Roman" w:hAnsi="Times New Roman"/>
          <w:sz w:val="18"/>
          <w:szCs w:val="18"/>
          <w:color w:val="212529"/>
        </w:rPr>
        <w:t>in Canada and Israel and is involved in</w:t>
      </w:r>
      <w:r>
        <w:rPr>
          <w:rFonts w:ascii="Times New Roman" w:cs="Times New Roman" w:eastAsia="Times New Roman" w:hAnsi="Times New Roman"/>
          <w:sz w:val="18"/>
          <w:szCs w:val="18"/>
          <w:color w:val="auto"/>
        </w:rPr>
        <w:t xml:space="preserve"> the cultivation, manufacture, and marketing of cannabis and cannabis-derived products for the medical and adult-use markets</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All prior period segment disclosure information has been reclassified to conform to the current reporting structure in this Form 10-Q. These reclassifications had no effect on our consolidated financial statements in any period presented.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Revenue recognition</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8"/>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present the Company’s revenue by major product category for continuing operations:</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06"/>
        </w:trPr>
        <w:tc>
          <w:tcPr>
            <w:tcW w:w="2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24"/>
                <w:szCs w:val="24"/>
                <w:color w:val="auto"/>
              </w:rPr>
            </w:pPr>
          </w:p>
        </w:tc>
      </w:tr>
      <w:tr>
        <w:trPr>
          <w:trHeight w:val="24"/>
        </w:trPr>
        <w:tc>
          <w:tcPr>
            <w:tcW w:w="2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220" w:type="dxa"/>
            <w:vAlign w:val="bottom"/>
            <w:tcBorders>
              <w:bottom w:val="single" w:sz="8" w:color="CCEEFF"/>
            </w:tcBorders>
          </w:tcPr>
          <w:p>
            <w:pPr>
              <w:spacing w:after="0"/>
              <w:rPr>
                <w:sz w:val="16"/>
                <w:szCs w:val="16"/>
                <w:color w:val="auto"/>
              </w:rPr>
            </w:pPr>
          </w:p>
        </w:tc>
        <w:tc>
          <w:tcPr>
            <w:tcW w:w="80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225"/>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Cannabis flower</w:t>
            </w: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17,525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13,128</w:t>
            </w:r>
          </w:p>
        </w:tc>
      </w:tr>
      <w:tr>
        <w:trPr>
          <w:trHeight w:val="225"/>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Cannabis extracts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r>
      <w:tr>
        <w:trPr>
          <w:trHeight w:val="225"/>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8"/>
        </w:trPr>
        <w:tc>
          <w:tcPr>
            <w:tcW w:w="22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25,288</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19,495</w:t>
            </w:r>
          </w:p>
        </w:tc>
      </w:tr>
      <w:tr>
        <w:trPr>
          <w:trHeight w:val="20"/>
        </w:trPr>
        <w:tc>
          <w:tcPr>
            <w:tcW w:w="2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7" w:lineRule="exact"/>
        <w:rPr>
          <w:sz w:val="20"/>
          <w:szCs w:val="20"/>
          <w:color w:val="auto"/>
        </w:rPr>
      </w:pPr>
    </w:p>
    <w:p>
      <w:pPr>
        <w:sectPr>
          <w:pgSz w:w="11900" w:h="16838" w:orient="portrait"/>
          <w:cols w:equalWidth="0" w:num="2">
            <w:col w:w="8680" w:space="720"/>
            <w:col w:w="1840"/>
          </w:cols>
          <w:pgMar w:left="320" w:top="18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attributed to a geographic region based on the location of the customer were as follows for continuing operations: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8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18,871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14,434</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w:t>
            </w:r>
          </w:p>
        </w:tc>
      </w:tr>
      <w:tr>
        <w:trPr>
          <w:trHeight w:val="243"/>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revenue</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25,288</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19,495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640" w:hanging="634"/>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risk</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risk is the risk of financial loss to the Company if a customer or counterparty to a financial instrument fails to meet its contractual obligations. The Company is exposed to credit risk from its operating activities, primarily accounts receivable and other receivables, and its investing activities, including cash held with banks and financial institutions, short-term investments and loans receivable. The Company’s maximum exposure to this risk is equal to the carrying amount of these financial assets, which amounted to $952,446 and $966,442 as of March 31, 2024 and December 31, 2023, respectively.</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impairment analysis is performed at each reporting date using a provision matrix to measure expected credit losses. The provision rates are based on the days past due for groupings of various customer segments with similar loss patterns. The calculation reflects the probability-weighted outcome, the time value of money and reasonable and supportable information that is available at the reporting date about past events, current conditions and forecasts of future economic conditions. Accounts receivable are written off when there is no reasonable expectation of recovery. Indicators that there is no reasonable expectation of recovery include, amongst others, the failure of a debtor to engage in a repayment plan and a failure to make contractual payments for a period of greater than 120 days past due. As of March 31, 2024 and December 31, 2023, the Company had $15 and $3, respectively, in expected credit losses that have been recognized on receivables from contracts with customers.</w:t>
      </w:r>
    </w:p>
    <w:p>
      <w:pPr>
        <w:spacing w:after="0" w:line="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31, 2024, the Company assessed that there is a concentration of credit risk, as 40% of the Company’s accounts receivable were due from two customers with an established credit history with the Company. As of December 31, 2023, 37% of the Company’s accounts receivable were due from one customer with an established credit history with the Company.</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sells products to a limited number of major customers. Major customers are defined as customers that each individually accounted for greater than 10% of the Company’s revenue. During the three months ended March 31, 2024, the Company earned a total net revenue before excise taxes of $21,866 from three major customers, together accounting for 62% of the Company’s total net revenues before excise taxes. During the three months ended March 31, 2023, the Company earned a total net revenue before excise taxes of $15,168 from two major customers, together accounting for 56% of the Company’s total net revenues before excise taxes.</w:t>
      </w:r>
    </w:p>
    <w:p>
      <w:pPr>
        <w:spacing w:after="0" w:line="77" w:lineRule="exact"/>
        <w:rPr>
          <w:sz w:val="20"/>
          <w:szCs w:val="20"/>
          <w:color w:val="auto"/>
        </w:rPr>
      </w:pPr>
    </w:p>
    <w:p>
      <w:pPr>
        <w:ind w:left="640" w:hanging="634"/>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enhances reportable segment disclosures by requiring disclosures such as significant segment expenses, information on the CODM and disclosures for entities with a single reportable segment. Additionally, the amendments enhance interim disclosure requirements, clarify circumstances in which an entity can disclose multiple segment measures of profit or loss, and contain other disclosure requirements. ASU 2023-07 is effective for fiscal years beginning after December 15, 2023, and interim periods within fiscal years beginning after December 15, 2024, and we expect to adopt ASU 2023-07 retrospectively. The Company does not expect the adoption of ASU 2023-07 to have a material impact on its consolidated financial statements.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enhances the existing income tax disclosures to provide additional information to better assess how an entity’s operations, related tax risks and tax planning, and operational opportunities affect its tax rate and prospects for future cash flows. ASU 2023-09 is effective for fiscal years beginning after December 15, 2023, and interim periods within fiscal years beginning after December 15, 2024, and we expect to adopt ASU 2023-09 prospectively. The Company does not expect the adoption of ASU 2023-09 to have a material impact on its consolidated financial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8" w:lineRule="exact"/>
        <w:rPr>
          <w:sz w:val="20"/>
          <w:szCs w:val="20"/>
          <w:color w:val="auto"/>
        </w:rPr>
      </w:pPr>
    </w:p>
    <w:p>
      <w:pPr>
        <w:ind w:left="20"/>
        <w:spacing w:after="0"/>
        <w:tabs>
          <w:tab w:leader="none" w:pos="938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634"/>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new accounting pronouncements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1, 2024, the Company adopted ASU 2022-03, Fair Value Measurement (Topic 820): Fair Value Measurement of Equity Securities Subject to Contractual Sale Restrictions (“ASU 2022-03”). ASU 2022-03 clarifies that a contractual restriction on the sale of an equity security is not considered in measuring fair value. The amendments also require additional disclosures for equity securities subject to contractual sale restrictions. The adoption of ASU 2022-03 did not have a material impact on the Company’s condensed consolidated interim financial statements. With respect to the adoption of ASU 2022-03, see Note 4 “Investments” for discussion of the contractual restrictions related to the PharmaCann Option (as defined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Discontinued Operations</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the second quarter of 2023, the Company exited its then-existing U.S. hemp-derived cannabinoid product operations. Accordingly, the net loss of the U.S. operations for the three months ended March 31, 2023 are reported separately as loss from discontinued operations on the condensed consolidated statements of net loss and comprehensive loss. There was no activity in discontinued operations for the three months ended March 31, 2024.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major components comprising loss from discontinued operations in the condensed consolidated statements of operations for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1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three</w:t>
            </w:r>
          </w:p>
        </w:tc>
        <w:tc>
          <w:tcPr>
            <w:tcW w:w="1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months</w:t>
            </w:r>
          </w:p>
        </w:tc>
        <w:tc>
          <w:tcPr>
            <w:tcW w:w="1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ended</w:t>
            </w:r>
          </w:p>
        </w:tc>
        <w:tc>
          <w:tcPr>
            <w:tcW w:w="1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March</w:t>
            </w:r>
          </w:p>
        </w:tc>
        <w:tc>
          <w:tcPr>
            <w:tcW w:w="11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31,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144"/>
        </w:trPr>
        <w:tc>
          <w:tcPr>
            <w:tcW w:w="16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jc w:val="center"/>
              <w:ind w:right="115"/>
              <w:spacing w:after="0" w:line="144"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2"/>
        </w:trPr>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2"/>
        </w:trPr>
        <w:tc>
          <w:tcPr>
            <w:tcW w:w="16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5"/>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5"/>
        </w:trPr>
        <w:tc>
          <w:tcPr>
            <w:tcW w:w="1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18"/>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5"/>
        </w:trPr>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Sales and marketing</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5"/>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5"/>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8"/>
        </w:trPr>
        <w:tc>
          <w:tcPr>
            <w:tcW w:w="3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5"/>
        </w:trPr>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3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income (loss)</w:t>
            </w:r>
          </w:p>
        </w:tc>
        <w:tc>
          <w:tcPr>
            <w:tcW w:w="15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9"/>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5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25"/>
        </w:trPr>
        <w:tc>
          <w:tcPr>
            <w:tcW w:w="3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3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5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discontinued operations revenue by major product category: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2"/>
        </w:trPr>
        <w:tc>
          <w:tcPr>
            <w:tcW w:w="9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2"/>
        </w:trPr>
        <w:tc>
          <w:tcPr>
            <w:tcW w:w="9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5"/>
        </w:trPr>
        <w:tc>
          <w:tcPr>
            <w:tcW w:w="9340" w:type="dxa"/>
            <w:vAlign w:val="bottom"/>
            <w:shd w:val="clear" w:color="auto" w:fill="CCEEFF"/>
          </w:tcPr>
          <w:p>
            <w:pPr>
              <w:jc w:val="center"/>
              <w:ind w:right="7952"/>
              <w:spacing w:after="0"/>
              <w:rPr>
                <w:sz w:val="20"/>
                <w:szCs w:val="20"/>
                <w:color w:val="auto"/>
              </w:rPr>
            </w:pPr>
            <w:r>
              <w:rPr>
                <w:rFonts w:ascii="Times New Roman" w:cs="Times New Roman" w:eastAsia="Times New Roman" w:hAnsi="Times New Roman"/>
                <w:sz w:val="18"/>
                <w:szCs w:val="18"/>
                <w:color w:val="auto"/>
                <w:w w:val="98"/>
              </w:rPr>
              <w:t>Cannabis extracts</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18"/>
        </w:trPr>
        <w:tc>
          <w:tcPr>
            <w:tcW w:w="9340" w:type="dxa"/>
            <w:vAlign w:val="bottom"/>
          </w:tcPr>
          <w:p>
            <w:pPr>
              <w:jc w:val="center"/>
              <w:ind w:right="7912"/>
              <w:spacing w:after="0"/>
              <w:rPr>
                <w:sz w:val="20"/>
                <w:szCs w:val="20"/>
                <w:color w:val="auto"/>
              </w:rPr>
            </w:pPr>
            <w:r>
              <w:rPr>
                <w:rFonts w:ascii="Times New Roman" w:cs="Times New Roman" w:eastAsia="Times New Roman" w:hAnsi="Times New Roman"/>
                <w:sz w:val="18"/>
                <w:szCs w:val="18"/>
                <w:color w:val="auto"/>
                <w:w w:val="98"/>
              </w:rPr>
              <w:t>Net revenue</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0"/>
        </w:trPr>
        <w:tc>
          <w:tcPr>
            <w:tcW w:w="9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The Company had no assets or liabilities presented in the condensed consolidated balance sheets related to its discontinued operations as of both March 31, 2024 and December 31, 2023.</w:t>
      </w:r>
    </w:p>
    <w:p>
      <w:pPr>
        <w:spacing w:after="0" w:line="1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2024, there were no purchases of property plant and equipment related to discontinued operations. For the three months ended March 31, 2023, purchases of property plant and equipment related to discontinued operations were $67.</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7" w:lineRule="exact"/>
        <w:rPr>
          <w:sz w:val="20"/>
          <w:szCs w:val="20"/>
          <w:color w:val="auto"/>
        </w:rPr>
      </w:pPr>
    </w:p>
    <w:p>
      <w:pPr>
        <w:sectPr>
          <w:pgSz w:w="11900" w:h="16838" w:orient="portrait"/>
          <w:cols w:equalWidth="0" w:num="2">
            <w:col w:w="8680" w:space="720"/>
            <w:col w:w="1840"/>
          </w:cols>
          <w:pgMar w:left="320" w:top="18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3. Inventory, net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net is comprised of the following items: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00" w:type="dxa"/>
            <w:vAlign w:val="bottom"/>
          </w:tcPr>
          <w:p>
            <w:pPr>
              <w:spacing w:after="0"/>
              <w:rPr>
                <w:sz w:val="16"/>
                <w:szCs w:val="16"/>
                <w:color w:val="auto"/>
              </w:rPr>
            </w:pPr>
          </w:p>
        </w:tc>
        <w:tc>
          <w:tcPr>
            <w:tcW w:w="18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4"/>
        </w:trPr>
        <w:tc>
          <w:tcPr>
            <w:tcW w:w="7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25"/>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r>
      <w:tr>
        <w:trPr>
          <w:trHeight w:val="22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r>
      <w:tr>
        <w:trPr>
          <w:trHeight w:val="225"/>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Supplies and consumables</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7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30,495</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Investments</w:t>
      </w:r>
    </w:p>
    <w:p>
      <w:pPr>
        <w:spacing w:after="0" w:line="220" w:lineRule="exact"/>
        <w:rPr>
          <w:sz w:val="20"/>
          <w:szCs w:val="20"/>
          <w:color w:val="auto"/>
        </w:rPr>
      </w:pPr>
    </w:p>
    <w:p>
      <w:pPr>
        <w:ind w:left="640" w:hanging="634"/>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investments, net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carrying amount of the investments in equity method investees, net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200" w:type="dxa"/>
            <w:vAlign w:val="bottom"/>
          </w:tcPr>
          <w:p>
            <w:pPr>
              <w:spacing w:after="0"/>
              <w:rPr>
                <w:sz w:val="16"/>
                <w:szCs w:val="16"/>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60" w:type="dxa"/>
            <w:vAlign w:val="bottom"/>
          </w:tcPr>
          <w:p>
            <w:pPr>
              <w:spacing w:after="0"/>
              <w:rPr>
                <w:sz w:val="16"/>
                <w:szCs w:val="16"/>
                <w:color w:val="auto"/>
              </w:rPr>
            </w:pPr>
          </w:p>
        </w:tc>
        <w:tc>
          <w:tcPr>
            <w:tcW w:w="172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4"/>
        </w:trPr>
        <w:tc>
          <w:tcPr>
            <w:tcW w:w="53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Growing Company Inc. (“Cronos GrowCo”)</w:t>
            </w:r>
          </w:p>
        </w:tc>
        <w:tc>
          <w:tcPr>
            <w:tcW w:w="18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w:t>
            </w:r>
          </w:p>
        </w:tc>
      </w:tr>
      <w:tr>
        <w:trPr>
          <w:trHeight w:val="218"/>
        </w:trPr>
        <w:tc>
          <w:tcPr>
            <w:tcW w:w="5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19,488</w:t>
            </w:r>
          </w:p>
        </w:tc>
      </w:tr>
      <w:tr>
        <w:trPr>
          <w:trHeight w:val="20"/>
        </w:trPr>
        <w:tc>
          <w:tcPr>
            <w:tcW w:w="5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share of net income (losses) from equity investments accounted for under the equity method of accounting: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4"/>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8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GrowCo</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18"/>
        </w:trPr>
        <w:tc>
          <w:tcPr>
            <w:tcW w:w="80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640" w:hanging="634"/>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investments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investments consist of investments in common shares and options of two companies in the cannabis industry.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PharmaCann Option</w:t>
      </w:r>
    </w:p>
    <w:p>
      <w:pPr>
        <w:spacing w:after="0" w:line="100"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On June 14, 2021, the Company purchased an option (the “PharmaCann Option”) to acquire 473,787 shares of Class A Common Stock of PharmaCann, Inc. (“PharmaCann”), a vertically integrated cannabis company in the United States, at an exercise price of $0.0001 per share, representing approximately 10.5% of PharmaCann’s issued and outstanding capital stock on a fully diluted basis as of the date of the PharmaCann Option, for an aggregate purchase price of approximately $110,392. The PharmaCann Option is classified as an investment in an equity security without a readily determinable fair value. The Company measures the PharmaCann Option at cost less accumulated impairment charges, if any, and subsequently adjusted for observable price changes in orderly transactions for the identical or a similar investment of the same issuer. As of March 31, 2024 and December 31, 2023, based on updated information provided by PharmaCann in the first quarter, the Company’s ownership percentage in PharmaCann on a fully diluted basis was approximately 6.3% and 6.6%, respectively. The decrease in the Company’s ownership percentage since acquisition does not materially affect the Company’s rights under the PharmaCann Option. The PharmaCann Option is measured at fair value on a non-recurring basis and is a level 3 asset. See Note 10 “Fair Value Measurements” for more information on the fair value hierarchy. The PharmaCann Option is reported as Other investments on the consolidated balance sheet for the periods ended March 31, 2024 and December 31, 2023.</w:t>
      </w:r>
    </w:p>
    <w:p>
      <w:pPr>
        <w:spacing w:after="0" w:line="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first quarter of 2024, the Company identified adverse forecast changes in the financial performance of PharmaCann as an indicator of impairment related to the PharmaCann Option and conducted an analysis comparing the PharmaCann Option’s carrying amount to its estimated fair value. The fair value was estimated using the market approach. Under the market approach, the key assumptions are the selected multiples and the discount for lack of marketability. As a result of this analysis, the Company recorded a non-cash impairment charge of $12,734 in the first quarter of 2024 as the difference between the carrying amount of the PharmaCann Option and its estimated fair value, in the condensed consolidated statements of net loss and comprehensive loss for the three months ended March 31, 2024.</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8" w:lineRule="exact"/>
        <w:rPr>
          <w:sz w:val="20"/>
          <w:szCs w:val="20"/>
          <w:color w:val="auto"/>
        </w:rPr>
      </w:pPr>
    </w:p>
    <w:p>
      <w:pPr>
        <w:ind w:left="20"/>
        <w:spacing w:after="0"/>
        <w:tabs>
          <w:tab w:leader="none" w:pos="938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may sell, transfer or dispose of the PharmaCann Option without PharmaCann’s prior written consent, subject to the following conditions: (i) any transferee of any part of the PharmaCann Option must comply with and commit to comply with all regulations issued by a governmental entity applicable to such transferee in all material respects; (ii) any transferee of any part of the PharmaCann Option must agree to be bound by the terms of the Option Purchase Agreement, dated as of June 14, 2021 (the “Option Purchase Agreement”), as a “Purchaser” thereunder; (iii) the Company may not split and/or transfer the PharmaCann Option, in the aggregate, to more than four persons (with certain exceptions); (iv) no transferee may be a Prohibited Assignee (as defined in the Option Purchase Agreement); and (v) subject to certain exceptions, in the event that the Company (or a Permitted Transferee of the whole PharmaCann Option) transfers less than all of the PharmaCann Option to any third party that is not a Permitted Transferee, certain governance and information rights terminate immediately, unless waived by the PharmaCann board of directors in its sole and absolute discretion.</w:t>
      </w:r>
    </w:p>
    <w:p>
      <w:pPr>
        <w:spacing w:after="0" w:line="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Additionally, in the event of an initial underwritten public offering of PharmaCann’s common stock pursuant to an effective registration statement, to the extent that holders of PharmaCann common stock are subject to any lock-up period imposed by the underwriter in connection therewith, the Company will, if applicable, execute a customary lock-up agreement on the same material terms and conditions as the other holders of common stock are subject to or as otherwise agreed between PharmaCann and the Company, subject to certain conditions with respect to the duration of the lock-up period.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Vitura Health Limited (formerly known as Cronos Australia)</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owns approximately 10% of the outstanding common shares of Vitura Health Limited (“Vitura”). The investment is considered an equity security with a readily determinable fair value. Changes in the fair value of the investment are recorded as gain (loss) on revaluation of financial instruments on the condensed consolidated statements of net loss and comprehensive loss.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other investments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1, 2024</w:t>
            </w: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17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40" w:type="dxa"/>
            <w:vAlign w:val="bottom"/>
          </w:tcPr>
          <w:p>
            <w:pPr>
              <w:spacing w:after="0"/>
              <w:rPr>
                <w:sz w:val="16"/>
                <w:szCs w:val="16"/>
                <w:color w:val="auto"/>
              </w:rPr>
            </w:pP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March 31, 2024</w:t>
            </w:r>
          </w:p>
        </w:tc>
      </w:tr>
      <w:tr>
        <w:trPr>
          <w:trHeight w:val="24"/>
        </w:trPr>
        <w:tc>
          <w:tcPr>
            <w:tcW w:w="2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PharmaCann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(12,734)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12,916</w:t>
            </w: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Vitura</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r>
      <w:tr>
        <w:trPr>
          <w:trHeight w:val="243"/>
        </w:trPr>
        <w:tc>
          <w:tcPr>
            <w:tcW w:w="27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(12,734)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19,758</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373"/>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24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6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17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40" w:type="dxa"/>
            <w:vAlign w:val="bottom"/>
          </w:tcPr>
          <w:p>
            <w:pPr>
              <w:spacing w:after="0"/>
              <w:rPr>
                <w:sz w:val="24"/>
                <w:szCs w:val="24"/>
                <w:color w:val="auto"/>
              </w:rPr>
            </w:pP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March 31, 2023</w:t>
            </w:r>
          </w:p>
        </w:tc>
      </w:tr>
      <w:tr>
        <w:trPr>
          <w:trHeight w:val="24"/>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9"/>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PharmaCann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Vitura</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w:t>
            </w:r>
          </w:p>
        </w:tc>
      </w:tr>
      <w:tr>
        <w:trPr>
          <w:trHeight w:val="244"/>
        </w:trPr>
        <w:tc>
          <w:tcPr>
            <w:tcW w:w="27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62,833</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7" w:lineRule="exact"/>
        <w:rPr>
          <w:sz w:val="20"/>
          <w:szCs w:val="20"/>
          <w:color w:val="auto"/>
        </w:rPr>
      </w:pPr>
    </w:p>
    <w:p>
      <w:pPr>
        <w:sectPr>
          <w:pgSz w:w="11900" w:h="16838" w:orient="portrait"/>
          <w:cols w:equalWidth="0" w:num="2">
            <w:col w:w="8680" w:space="720"/>
            <w:col w:w="1840"/>
          </w:cols>
          <w:pgMar w:left="320" w:top="18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Loans Receivable, net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receivable, net consists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60" w:type="dxa"/>
            <w:vAlign w:val="bottom"/>
          </w:tcPr>
          <w:p>
            <w:pPr>
              <w:spacing w:after="0"/>
              <w:rPr>
                <w:sz w:val="16"/>
                <w:szCs w:val="16"/>
                <w:color w:val="auto"/>
              </w:rPr>
            </w:pPr>
          </w:p>
        </w:tc>
        <w:tc>
          <w:tcPr>
            <w:tcW w:w="17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4"/>
        </w:trPr>
        <w:tc>
          <w:tcPr>
            <w:tcW w:w="7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GrowCo Credit Facility</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r>
      <w:tr>
        <w:trPr>
          <w:trHeight w:val="225"/>
        </w:trPr>
        <w:tc>
          <w:tcPr>
            <w:tcW w:w="7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Add: Current portion of accrued interest</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19"/>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portion of loans receivable</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18"/>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GrowCo Credit Facility</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53,638</w:t>
            </w:r>
          </w:p>
        </w:tc>
      </w:tr>
      <w:tr>
        <w:trPr>
          <w:trHeight w:val="22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Mucci Promissory Note</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w:t>
            </w:r>
          </w:p>
        </w:tc>
      </w:tr>
      <w:tr>
        <w:trPr>
          <w:trHeight w:val="225"/>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Cannasoul Collaboration Loan</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2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 Long-term portion of accrued interest</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18"/>
        </w:trPr>
        <w:tc>
          <w:tcPr>
            <w:tcW w:w="7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long-term portion of loans receivable</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69,036</w:t>
            </w: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Cronos GrowCo Credit Facility</w:t>
      </w:r>
    </w:p>
    <w:p>
      <w:pPr>
        <w:spacing w:after="0" w:line="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August 23, 2019, the Company, as lender, and Cronos GrowCo, as borrower, entered into a senior secured credit agreement for an aggregate principal amount of C$100,000 (the “GrowCo Credit Facility”). The GrowCo Credit Facility is secured by substantially all present and after-acquired personal and real property of Cronos GrowCo. In August 2021, the GrowCo Credit Facility was amended to increase the aggregate principal amount available to C$105,000. As of both March 31, 2024, and December 31, 2023, Cronos GrowCo had drawn C$104,000 ($76,855 and $78,532, respectively) from the GrowCo Credit Facility. The interest rate on the outstanding borrowings is the Canadian Prime Rate plus 1.25%, with interest payments due in December 2021, December 2022, and quarterly thereafter. Principal payments of C$1,000 commenced in March 2022 and are currently C$1,667, due quarterly. For the three months ended March 31, 2024, Cronos GrowCo repaid C$1,667 ($1,231) in principal and C$1,943 ($1,435) in interest related to the GrowCo Credit Facility. As of March 31, 2024, Cronos GrowCo had repaid an aggregate C$13,167 ($9,730) and C$22,464 ($16,601) in principal and interest, respectively, under the terms of the GrowCo Credit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Mucci Promissory Note</w:t>
      </w:r>
    </w:p>
    <w:p>
      <w:pPr>
        <w:spacing w:after="0" w:line="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28, 2019, the Company entered into a promissory note receivable agreement (the “Mucci Promissory Note”) for C$16,350 (approximately $12,082) with the Cronos GrowCo joint venture partner (“Mucci”). The Mucci Promissory Note is secured by a general security agreement covering all the assets of Mucci. On September 30, 2022, the Mucci Promissory Note was amended and restated to increase the interest rate from 3.95% to the Canadian Prime Rate plus 1.25%, change the interest payments from quarterly to annual, and defer Mucci’s initial cash interest payment from September 30, 2022 to July 1, 2023.</w:t>
      </w:r>
    </w:p>
    <w:p>
      <w:pPr>
        <w:spacing w:after="0" w:line="6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Prior to July 1, 2022, interest accrued on the Mucci Promissory Note was capitalized as part of the principal balance. As of July 1, 2022, interest was accrued and to be paid in cash beginning on July 1, 2023. Prior to 2023, there were no repayments of principal or interest on the Mucci Promissory Note. For the three months ended March 31, 2024 and 2023, there were no repayments of principal or interest on the Mucci Promissory Note.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Cannasoul Collaboration Loan</w:t>
      </w:r>
    </w:p>
    <w:p>
      <w:pPr>
        <w:spacing w:after="0" w:line="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both March 31, 2024 and December 31, 2023, Cannasoul Lab Services Ltd. has received ILS 8,297 (approximately $2,249 and $2,294, respectively), from the Cannasoul Collaboration Loan.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7" w:lineRule="exact"/>
        <w:rPr>
          <w:sz w:val="20"/>
          <w:szCs w:val="20"/>
          <w:color w:val="auto"/>
        </w:rPr>
      </w:pPr>
    </w:p>
    <w:p>
      <w:pPr>
        <w:sectPr>
          <w:pgSz w:w="11900" w:h="16838" w:orient="portrait"/>
          <w:cols w:equalWidth="0" w:num="2">
            <w:col w:w="8680" w:space="720"/>
            <w:col w:w="1840"/>
          </w:cols>
          <w:pgMar w:left="320" w:top="18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Expected credit loss allowances on the Company’s long-term financial assets for the three months ended March 31, 2024 and 2023 were comprised of the following items: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January 1, 2024</w:t>
            </w:r>
          </w:p>
        </w:tc>
        <w:tc>
          <w:tcPr>
            <w:tcW w:w="22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Increase (decrease)</w:t>
            </w:r>
            <w:r>
              <w:rPr>
                <w:rFonts w:ascii="Times New Roman" w:cs="Times New Roman" w:eastAsia="Times New Roman" w:hAnsi="Times New Roman"/>
                <w:sz w:val="18"/>
                <w:szCs w:val="18"/>
                <w:b w:val="1"/>
                <w:bCs w:val="1"/>
                <w:color w:val="auto"/>
                <w:w w:val="98"/>
                <w:vertAlign w:val="superscript"/>
              </w:rPr>
              <w:t>(i)</w:t>
            </w:r>
          </w:p>
        </w:tc>
        <w:tc>
          <w:tcPr>
            <w:tcW w:w="16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200" w:type="dxa"/>
            <w:vAlign w:val="bottom"/>
          </w:tcPr>
          <w:p>
            <w:pPr>
              <w:spacing w:after="0"/>
              <w:rPr>
                <w:sz w:val="18"/>
                <w:szCs w:val="18"/>
                <w:color w:val="auto"/>
              </w:rPr>
            </w:pPr>
          </w:p>
        </w:tc>
        <w:tc>
          <w:tcPr>
            <w:tcW w:w="1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of March 31, 2024</w:t>
            </w:r>
          </w:p>
        </w:tc>
      </w:tr>
      <w:tr>
        <w:trPr>
          <w:trHeight w:val="218"/>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GrowCo Credit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r>
      <w:tr>
        <w:trPr>
          <w:trHeight w:val="225"/>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Mucci Promissory Note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Cannasoul Collaboration Loan</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18"/>
        </w:trPr>
        <w:tc>
          <w:tcPr>
            <w:tcW w:w="3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11,347</w:t>
            </w: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379"/>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22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160" w:type="dxa"/>
            <w:vAlign w:val="bottom"/>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200" w:type="dxa"/>
            <w:vAlign w:val="bottom"/>
          </w:tcPr>
          <w:p>
            <w:pPr>
              <w:spacing w:after="0"/>
              <w:rPr>
                <w:sz w:val="24"/>
                <w:szCs w:val="24"/>
                <w:color w:val="auto"/>
              </w:rPr>
            </w:pPr>
          </w:p>
        </w:tc>
        <w:tc>
          <w:tcPr>
            <w:tcW w:w="1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of March 31, 2023</w:t>
            </w:r>
          </w:p>
        </w:tc>
      </w:tr>
      <w:tr>
        <w:trPr>
          <w:trHeight w:val="24"/>
        </w:trPr>
        <w:tc>
          <w:tcPr>
            <w:tcW w:w="3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GrowCo Credit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w:t>
            </w:r>
          </w:p>
        </w:tc>
      </w:tr>
      <w:tr>
        <w:trPr>
          <w:trHeight w:val="225"/>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Mucci Promissory Note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Cannasoul Collaboration Loan</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18"/>
        </w:trPr>
        <w:tc>
          <w:tcPr>
            <w:tcW w:w="3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12,324</w:t>
            </w: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left="480" w:hanging="474"/>
        <w:spacing w:after="0" w:line="239" w:lineRule="auto"/>
        <w:tabs>
          <w:tab w:leader="none" w:pos="474"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three and months ended March 31, 2024, $191 was recorded as a decrease to general and administrative expenses on the condensed consolidated statements of net loss and comprehensive loss as a result of principal and interest payments made by Cronos GrowCo reducing our expected credit losses on loans receivable. During the three months ended March 31, 2023, $764 was recorded as a decrease to general and administrative expenses on the condensed consolidated statements of net loss and comprehensive loss as a result of adjustments to our expected credit losses.</w:t>
      </w:r>
    </w:p>
    <w:p>
      <w:pPr>
        <w:spacing w:after="0" w:line="205" w:lineRule="exact"/>
        <w:rPr>
          <w:rFonts w:ascii="Times New Roman" w:cs="Times New Roman" w:eastAsia="Times New Roman" w:hAnsi="Times New Roman"/>
          <w:sz w:val="18"/>
          <w:szCs w:val="18"/>
          <w:color w:val="auto"/>
          <w:vertAlign w:val="superscript"/>
        </w:rPr>
      </w:pPr>
    </w:p>
    <w:p>
      <w:pPr>
        <w:ind w:left="260" w:hanging="214"/>
        <w:spacing w:after="0"/>
        <w:tabs>
          <w:tab w:leader="none" w:pos="260" w:val="left"/>
        </w:tabs>
        <w:numPr>
          <w:ilvl w:val="1"/>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Restructuring</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the first quarter of 2022, the Company initiated a strategic plan to realign the business around its brands, centralize functions and evaluate the Company’s supply chain (the “Realignment”). As part of the Realignment, on February 28, 2022, the Board approved plans to leverage the Company’s strategic partnerships to improve supply chain efficiencies and reduce manufacturing overhead by exiting its production facility in Stayner, Ontario, Canada (the “Peace Naturals Campus”). On February 27, 2023, the Board approved revisions to the Realignment, which are expected to result in the Company maintaining select components of its operations at the Peace Naturals Campus, namely distribution warehousing, certain research and development activities and manufacturing of certain of the Company’s products, while seeking to sell and lease back all or some of the Peace Naturals Campus or to lease certain portions of the Peace Naturals Campus to third parties. In the third quarter of 2023, the Board approved revisions to the Realignment to wind-down operations at its Winnipeg, Manitoba facility (“Cronos Fermentation”), list the Cronos Fermentation facility for sale, and implement additional organization-wide cost reductions as the Company continues its Realignment initiatives. The Realignment initiatives were intended to position the Company to drive profitable and sustainable growth over time.</w:t>
      </w:r>
    </w:p>
    <w:p>
      <w:pPr>
        <w:spacing w:after="0" w:line="2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During the first quarter of 2024, the Company ceased operations at Cronos Fermentation and performed an assessment under ASC 360 of the recoverability of the carrying value of the Cronos Fermentation assets, and determined the carrying value of the assets was not fully recoverable. The fair value was estimated using a combination of the market and income approaches. As a result of this analysis, an impairment loss on long-lived assets of $1,631 was recorded to the condensed consolidated statements of net loss and comprehensive loss in the three months ended March 31, 2024. As of March 31, 2024, the assets of Cronos Fermentation met the held-for-sale criteria and were reclassified to assets held for sale on the condensed consolidated balance sheet and the assets were valued at their fair value less costs to sell. A $445 loss for estimated costs to sell was recorded as a result of the classification of the Cronos Fermentation assets as held for sale.</w:t>
      </w:r>
    </w:p>
    <w:p>
      <w:pPr>
        <w:spacing w:after="0" w:line="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2024, the Company incurred $83 of restructuring costs in its continuing operations in connection with the Realignment. Charges related thereto include employee-related costs such as severance and other termination benefits, as well as other related costs. During the three months ended March 31, 2023, the Company recognized no restructuring costs in continuing operations in connection with the Realignment.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7" w:lineRule="exact"/>
        <w:rPr>
          <w:sz w:val="20"/>
          <w:szCs w:val="20"/>
          <w:color w:val="auto"/>
        </w:rPr>
      </w:pPr>
    </w:p>
    <w:p>
      <w:pPr>
        <w:sectPr>
          <w:pgSz w:w="11900" w:h="16838" w:orient="portrait"/>
          <w:cols w:equalWidth="0" w:num="2">
            <w:col w:w="8680" w:space="720"/>
            <w:col w:w="1840"/>
          </w:cols>
          <w:pgMar w:left="320" w:top="18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restructuring activity for the three months ended March 31, 2024 and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Accrual as of January 1,</w:t>
            </w:r>
          </w:p>
        </w:tc>
        <w:tc>
          <w:tcPr>
            <w:tcW w:w="320" w:type="dxa"/>
            <w:vAlign w:val="bottom"/>
          </w:tcPr>
          <w:p>
            <w:pPr>
              <w:spacing w:after="0"/>
              <w:rPr>
                <w:sz w:val="13"/>
                <w:szCs w:val="13"/>
                <w:color w:val="auto"/>
              </w:rPr>
            </w:pP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Payments/Write-offs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Accrual as of March 31,</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5"/>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38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520" w:type="dxa"/>
            <w:vAlign w:val="bottom"/>
          </w:tcPr>
          <w:p>
            <w:pPr>
              <w:spacing w:after="0"/>
              <w:rPr>
                <w:sz w:val="24"/>
                <w:szCs w:val="24"/>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Accrual as of January 1,</w:t>
            </w:r>
          </w:p>
        </w:tc>
        <w:tc>
          <w:tcPr>
            <w:tcW w:w="320" w:type="dxa"/>
            <w:vAlign w:val="bottom"/>
          </w:tcPr>
          <w:p>
            <w:pPr>
              <w:spacing w:after="0"/>
              <w:rPr>
                <w:sz w:val="24"/>
                <w:szCs w:val="24"/>
                <w:color w:val="auto"/>
              </w:rPr>
            </w:pP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24"/>
                <w:szCs w:val="24"/>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Payments/Write-offs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Accrual as of March 31,</w:t>
            </w: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38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7. Share-based Compensation</w:t>
      </w:r>
    </w:p>
    <w:p>
      <w:pPr>
        <w:spacing w:after="0" w:line="220" w:lineRule="exact"/>
        <w:rPr>
          <w:sz w:val="20"/>
          <w:szCs w:val="20"/>
          <w:color w:val="auto"/>
        </w:rPr>
      </w:pPr>
    </w:p>
    <w:p>
      <w:pPr>
        <w:ind w:left="640" w:hanging="634"/>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award plans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granted stock options, restricted share units (“RSUs”) and deferred share units (“DSUs”) to employees and non-employee directors under the 2018 Stock Option Plan dated June 28, 2018 (the “2018 Stock Option Plan”), the Employment Inducement Award Plan #1 (the “Employment Inducement Award Plan”), the 2020 Omnibus Equity Incentive Plan dated March 29, 2020 (the “2020 Omnibus Plan”) and the DSU Plan dated August 10, 2019 (the “DSU Plan”). The Company can no longer make grants under the 2018 Stock Option Plan or the Employment Inducement Award Plan.</w:t>
      </w:r>
    </w:p>
    <w:p>
      <w:pPr>
        <w:spacing w:after="0" w:line="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total share-based compensation expense associated with the Company’s stock options and RSUs for the three months ended March 31, 2024 and 2023: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220" w:type="dxa"/>
            <w:vAlign w:val="bottom"/>
            <w:gridSpan w:val="5"/>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80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r>
      <w:tr>
        <w:trPr>
          <w:trHeight w:val="244"/>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640" w:hanging="634"/>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Vesting conditions for grants of options are determined by the Compensation Committee of the Company’s Board of Directors. The typical vesting for stock option grants made under the 2020 Omnibus Plan is annual vesting over three to five years with a maximum term of ten years. The typical vesting for stock option grants made under the 2018 Stock Option Plan is quarterly vesting over three to five years with a maximum term of seven years. The 2018 Stock Option Plan did not, and the 2020 Omnibus Plan does not, authorize grants of options with an exercise price below fair market value.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changes in stock options for the three months ended March 31, 2024 and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2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22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1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99"/>
        </w:trPr>
        <w:tc>
          <w:tcPr>
            <w:tcW w:w="4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gridSpan w:val="2"/>
          </w:tcPr>
          <w:p>
            <w:pPr>
              <w:ind w:left="400"/>
              <w:spacing w:after="0" w:line="199" w:lineRule="exact"/>
              <w:rPr>
                <w:sz w:val="20"/>
                <w:szCs w:val="20"/>
                <w:color w:val="auto"/>
              </w:rPr>
            </w:pPr>
            <w:r>
              <w:rPr>
                <w:rFonts w:ascii="Times New Roman" w:cs="Times New Roman" w:eastAsia="Times New Roman" w:hAnsi="Times New Roman"/>
                <w:sz w:val="14"/>
                <w:szCs w:val="14"/>
                <w:b w:val="1"/>
                <w:bCs w:val="1"/>
                <w:color w:val="auto"/>
              </w:rPr>
              <w:t xml:space="preserve">(C$) </w:t>
            </w:r>
            <w:r>
              <w:rPr>
                <w:rFonts w:ascii="Times New Roman" w:cs="Times New Roman" w:eastAsia="Times New Roman" w:hAnsi="Times New Roman"/>
                <w:sz w:val="18"/>
                <w:szCs w:val="18"/>
                <w:b w:val="1"/>
                <w:bCs w:val="1"/>
                <w:color w:val="auto"/>
                <w:vertAlign w:val="superscript"/>
              </w:rPr>
              <w:t>(i)</w:t>
            </w:r>
          </w:p>
        </w:tc>
        <w:tc>
          <w:tcPr>
            <w:tcW w:w="2220" w:type="dxa"/>
            <w:vAlign w:val="bottom"/>
            <w:gridSpan w:val="2"/>
            <w:vMerge w:val="continue"/>
          </w:tcPr>
          <w:p>
            <w:pPr>
              <w:spacing w:after="0"/>
              <w:rPr>
                <w:sz w:val="17"/>
                <w:szCs w:val="17"/>
                <w:color w:val="auto"/>
              </w:rPr>
            </w:pPr>
          </w:p>
        </w:tc>
        <w:tc>
          <w:tcPr>
            <w:tcW w:w="21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contractual term (years)</w:t>
            </w:r>
          </w:p>
        </w:tc>
        <w:tc>
          <w:tcPr>
            <w:tcW w:w="0" w:type="dxa"/>
            <w:vAlign w:val="bottom"/>
          </w:tcPr>
          <w:p>
            <w:pPr>
              <w:spacing w:after="0"/>
              <w:rPr>
                <w:sz w:val="1"/>
                <w:szCs w:val="1"/>
                <w:color w:val="auto"/>
              </w:rPr>
            </w:pPr>
          </w:p>
        </w:tc>
      </w:tr>
      <w:tr>
        <w:trPr>
          <w:trHeight w:val="218"/>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2,103,201</w:t>
            </w:r>
          </w:p>
        </w:tc>
        <w:tc>
          <w:tcPr>
            <w:tcW w:w="8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Cancellation, forfeiture and expiry of options</w:t>
            </w:r>
          </w:p>
        </w:tc>
        <w:tc>
          <w:tcPr>
            <w:tcW w:w="4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8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2,093,700</w:t>
            </w:r>
          </w:p>
        </w:tc>
        <w:tc>
          <w:tcPr>
            <w:tcW w:w="8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March 31, 2024</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vMerge w:val="continue"/>
          </w:tcPr>
          <w:p>
            <w:pPr>
              <w:spacing w:after="0"/>
              <w:rPr>
                <w:sz w:val="17"/>
                <w:szCs w:val="17"/>
                <w:color w:val="auto"/>
              </w:rPr>
            </w:pPr>
          </w:p>
        </w:tc>
        <w:tc>
          <w:tcPr>
            <w:tcW w:w="480" w:type="dxa"/>
            <w:vAlign w:val="bottom"/>
          </w:tcPr>
          <w:p>
            <w:pPr>
              <w:jc w:val="right"/>
              <w:ind w:right="296"/>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7"/>
                <w:szCs w:val="17"/>
                <w:color w:val="auto"/>
              </w:rPr>
            </w:pPr>
          </w:p>
        </w:tc>
        <w:tc>
          <w:tcPr>
            <w:tcW w:w="21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1,874,123</w:t>
            </w:r>
          </w:p>
        </w:tc>
        <w:tc>
          <w:tcPr>
            <w:tcW w:w="80" w:type="dxa"/>
            <w:vAlign w:val="bottom"/>
          </w:tcPr>
          <w:p>
            <w:pPr>
              <w:spacing w:after="0"/>
              <w:rPr>
                <w:sz w:val="17"/>
                <w:szCs w:val="17"/>
                <w:color w:val="auto"/>
              </w:rPr>
            </w:pPr>
          </w:p>
        </w:tc>
        <w:tc>
          <w:tcPr>
            <w:tcW w:w="21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830"/>
        </w:trPr>
        <w:tc>
          <w:tcPr>
            <w:tcW w:w="4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tc>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Borders>
              <w:bottom w:val="single" w:sz="8" w:color="0000FF"/>
            </w:tcBorders>
          </w:tcPr>
          <w:p>
            <w:pPr>
              <w:spacing w:after="0" w:line="193" w:lineRule="exact"/>
              <w:rPr>
                <w:sz w:val="20"/>
                <w:szCs w:val="20"/>
                <w:color w:val="auto"/>
              </w:rPr>
            </w:pPr>
            <w:r>
              <w:rPr>
                <w:rFonts w:ascii="Times New Roman" w:cs="Times New Roman" w:eastAsia="Times New Roman" w:hAnsi="Times New Roman"/>
                <w:sz w:val="18"/>
                <w:szCs w:val="18"/>
                <w:color w:val="0000FF"/>
                <w:w w:val="96"/>
              </w:rPr>
              <w:t>Table of Contents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5"/>
        </w:trPr>
        <w:tc>
          <w:tcPr>
            <w:tcW w:w="4660" w:type="dxa"/>
            <w:vAlign w:val="bottom"/>
          </w:tcPr>
          <w:p>
            <w:pPr>
              <w:spacing w:after="0"/>
              <w:rPr>
                <w:sz w:val="24"/>
                <w:szCs w:val="24"/>
                <w:color w:val="auto"/>
              </w:rPr>
            </w:pPr>
          </w:p>
        </w:tc>
        <w:tc>
          <w:tcPr>
            <w:tcW w:w="2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22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1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8"/>
              </w:rPr>
              <w:t xml:space="preserve">(C$) </w:t>
            </w:r>
            <w:r>
              <w:rPr>
                <w:rFonts w:ascii="Times New Roman" w:cs="Times New Roman" w:eastAsia="Times New Roman" w:hAnsi="Times New Roman"/>
                <w:sz w:val="9"/>
                <w:szCs w:val="9"/>
                <w:b w:val="1"/>
                <w:bCs w:val="1"/>
                <w:color w:val="auto"/>
                <w:w w:val="98"/>
              </w:rPr>
              <w:t>(i)</w:t>
            </w:r>
          </w:p>
        </w:tc>
        <w:tc>
          <w:tcPr>
            <w:tcW w:w="2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contractual term (years)</w:t>
            </w:r>
          </w:p>
        </w:tc>
        <w:tc>
          <w:tcPr>
            <w:tcW w:w="0" w:type="dxa"/>
            <w:vAlign w:val="bottom"/>
          </w:tcPr>
          <w:p>
            <w:pPr>
              <w:spacing w:after="0"/>
              <w:rPr>
                <w:sz w:val="1"/>
                <w:szCs w:val="1"/>
                <w:color w:val="auto"/>
              </w:rPr>
            </w:pPr>
          </w:p>
        </w:tc>
      </w:tr>
      <w:tr>
        <w:trPr>
          <w:trHeight w:val="225"/>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5,350,600</w:t>
            </w:r>
          </w:p>
        </w:tc>
        <w:tc>
          <w:tcPr>
            <w:tcW w:w="8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25"/>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options</w:t>
            </w:r>
          </w:p>
        </w:tc>
        <w:tc>
          <w:tcPr>
            <w:tcW w:w="6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Cancellation, forfeiture and expiry of options</w:t>
            </w:r>
          </w:p>
        </w:tc>
        <w:tc>
          <w:tcPr>
            <w:tcW w:w="6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(335,091)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5,203,826</w:t>
            </w:r>
          </w:p>
        </w:tc>
        <w:tc>
          <w:tcPr>
            <w:tcW w:w="80" w:type="dxa"/>
            <w:vAlign w:val="bottom"/>
          </w:tcPr>
          <w:p>
            <w:pPr>
              <w:spacing w:after="0"/>
              <w:rPr>
                <w:sz w:val="19"/>
                <w:szCs w:val="19"/>
                <w:color w:val="auto"/>
              </w:rPr>
            </w:pPr>
          </w:p>
        </w:tc>
        <w:tc>
          <w:tcPr>
            <w:tcW w:w="2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March 31, 2023</w:t>
            </w: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3,624,498</w:t>
            </w:r>
          </w:p>
        </w:tc>
        <w:tc>
          <w:tcPr>
            <w:tcW w:w="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weighted-average exercise price reflects the conversion of foreign currency-denominated stock options translated into C$ using the average foreign exchange rate as of the date of issuance.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options outstanding: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22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1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4"/>
        </w:trPr>
        <w:tc>
          <w:tcPr>
            <w:tcW w:w="40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1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Omnibus Plan</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702,264</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702,264</w:t>
            </w:r>
          </w:p>
        </w:tc>
      </w:tr>
      <w:tr>
        <w:trPr>
          <w:trHeight w:val="225"/>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 Plan</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1,391,436</w:t>
            </w:r>
          </w:p>
        </w:tc>
        <w:tc>
          <w:tcPr>
            <w:tcW w:w="10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1,400,937</w:t>
            </w:r>
          </w:p>
        </w:tc>
      </w:tr>
      <w:tr>
        <w:trPr>
          <w:trHeight w:val="243"/>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options outstanding</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2,093,700</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2,103,201</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640" w:hanging="634"/>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changes in RSUs for the three months ended March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Weighted-average grant date fair value (C$)</w:t>
            </w:r>
            <w:r>
              <w:rPr>
                <w:rFonts w:ascii="Times New Roman" w:cs="Times New Roman" w:eastAsia="Times New Roman" w:hAnsi="Times New Roman"/>
                <w:sz w:val="18"/>
                <w:szCs w:val="18"/>
                <w:b w:val="1"/>
                <w:bCs w:val="1"/>
                <w:color w:val="auto"/>
                <w:vertAlign w:val="superscript"/>
              </w:rPr>
              <w:t>(ii)</w:t>
            </w:r>
          </w:p>
        </w:tc>
        <w:tc>
          <w:tcPr>
            <w:tcW w:w="40" w:type="dxa"/>
            <w:vAlign w:val="bottom"/>
          </w:tcPr>
          <w:p>
            <w:pPr>
              <w:spacing w:after="0"/>
              <w:rPr>
                <w:sz w:val="18"/>
                <w:szCs w:val="18"/>
                <w:color w:val="auto"/>
              </w:rPr>
            </w:pPr>
          </w:p>
        </w:tc>
        <w:tc>
          <w:tcPr>
            <w:tcW w:w="23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Number of RSUs</w:t>
            </w:r>
          </w:p>
        </w:tc>
      </w:tr>
      <w:tr>
        <w:trPr>
          <w:trHeight w:val="218"/>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3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7,381,541</w:t>
            </w:r>
          </w:p>
        </w:tc>
      </w:tr>
      <w:tr>
        <w:trPr>
          <w:trHeight w:val="225"/>
        </w:trPr>
        <w:tc>
          <w:tcPr>
            <w:tcW w:w="540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(i)</w:t>
            </w:r>
          </w:p>
        </w:tc>
        <w:tc>
          <w:tcPr>
            <w:tcW w:w="22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1,910,756</w:t>
            </w:r>
          </w:p>
        </w:tc>
      </w:tr>
      <w:tr>
        <w:trPr>
          <w:trHeight w:val="225"/>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 and issued</w:t>
            </w:r>
          </w:p>
        </w:tc>
        <w:tc>
          <w:tcPr>
            <w:tcW w:w="220" w:type="dxa"/>
            <w:vAlign w:val="bottom"/>
            <w:shd w:val="clear" w:color="auto" w:fill="CCEEFF"/>
          </w:tcPr>
          <w:p>
            <w:pPr>
              <w:spacing w:after="0"/>
              <w:rPr>
                <w:sz w:val="19"/>
                <w:szCs w:val="19"/>
                <w:color w:val="auto"/>
              </w:rPr>
            </w:pP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(967,016)</w:t>
            </w:r>
          </w:p>
        </w:tc>
      </w:tr>
      <w:tr>
        <w:trPr>
          <w:trHeight w:val="225"/>
        </w:trPr>
        <w:tc>
          <w:tcPr>
            <w:tcW w:w="5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Cancellation and forfeitures</w:t>
            </w: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(65,662)</w:t>
            </w: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3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8,259,619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r>
        <w:trPr>
          <w:trHeight w:val="306"/>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Weighted-average grant date fair value (C$)</w:t>
            </w:r>
            <w:r>
              <w:rPr>
                <w:rFonts w:ascii="Times New Roman" w:cs="Times New Roman" w:eastAsia="Times New Roman" w:hAnsi="Times New Roman"/>
                <w:sz w:val="9"/>
                <w:szCs w:val="9"/>
                <w:b w:val="1"/>
                <w:bCs w:val="1"/>
                <w:color w:val="auto"/>
              </w:rPr>
              <w:t>(ii)</w:t>
            </w:r>
          </w:p>
        </w:tc>
        <w:tc>
          <w:tcPr>
            <w:tcW w:w="40" w:type="dxa"/>
            <w:vAlign w:val="bottom"/>
          </w:tcPr>
          <w:p>
            <w:pPr>
              <w:spacing w:after="0"/>
              <w:rPr>
                <w:sz w:val="24"/>
                <w:szCs w:val="24"/>
                <w:color w:val="auto"/>
              </w:rPr>
            </w:pPr>
          </w:p>
        </w:tc>
        <w:tc>
          <w:tcPr>
            <w:tcW w:w="23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Number of RSUs</w:t>
            </w:r>
          </w:p>
        </w:tc>
      </w:tr>
      <w:tr>
        <w:trPr>
          <w:trHeight w:val="24"/>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5,725,470</w:t>
            </w:r>
          </w:p>
        </w:tc>
      </w:tr>
      <w:tr>
        <w:trPr>
          <w:trHeight w:val="225"/>
        </w:trPr>
        <w:tc>
          <w:tcPr>
            <w:tcW w:w="540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(i)</w:t>
            </w:r>
          </w:p>
        </w:tc>
        <w:tc>
          <w:tcPr>
            <w:tcW w:w="22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1,927,487</w:t>
            </w:r>
          </w:p>
        </w:tc>
      </w:tr>
      <w:tr>
        <w:trPr>
          <w:trHeight w:val="225"/>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 and issued</w:t>
            </w:r>
          </w:p>
        </w:tc>
        <w:tc>
          <w:tcPr>
            <w:tcW w:w="220" w:type="dxa"/>
            <w:vAlign w:val="bottom"/>
            <w:shd w:val="clear" w:color="auto" w:fill="CCEEFF"/>
          </w:tcPr>
          <w:p>
            <w:pPr>
              <w:spacing w:after="0"/>
              <w:rPr>
                <w:sz w:val="19"/>
                <w:szCs w:val="19"/>
                <w:color w:val="auto"/>
              </w:rPr>
            </w:pP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(345,433)</w:t>
            </w:r>
          </w:p>
        </w:tc>
      </w:tr>
      <w:tr>
        <w:trPr>
          <w:trHeight w:val="225"/>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Cancellation and forfeitures</w:t>
            </w:r>
          </w:p>
        </w:tc>
        <w:tc>
          <w:tcPr>
            <w:tcW w:w="22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(70,108)</w:t>
            </w:r>
          </w:p>
        </w:tc>
      </w:tr>
      <w:tr>
        <w:trPr>
          <w:trHeight w:val="243"/>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3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7,237,416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320" w:hanging="314"/>
        <w:spacing w:after="0" w:line="232" w:lineRule="auto"/>
        <w:tabs>
          <w:tab w:leader="none" w:pos="314"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RSUs granted in the period vest annually in equal installments over a three-year period from either the grant date or after a three or five year “cliff-period.” All RSUs are subject to such holder’s continued employment through each vesting date. The vesting of such RSUs is not subject to the achievement of any performance criteria.</w:t>
      </w:r>
    </w:p>
    <w:p>
      <w:pPr>
        <w:spacing w:after="0" w:line="18" w:lineRule="exact"/>
        <w:rPr>
          <w:rFonts w:ascii="Times New Roman" w:cs="Times New Roman" w:eastAsia="Times New Roman" w:hAnsi="Times New Roman"/>
          <w:sz w:val="18"/>
          <w:szCs w:val="18"/>
          <w:color w:val="auto"/>
          <w:vertAlign w:val="superscript"/>
        </w:rPr>
      </w:pPr>
    </w:p>
    <w:p>
      <w:pPr>
        <w:ind w:left="320" w:hanging="314"/>
        <w:spacing w:after="0"/>
        <w:tabs>
          <w:tab w:leader="none" w:pos="32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weighted-average grant date fair value reflects the conversion of foreign currency-denominated RSUs translated into C$ using the foreign exchange rate as of the date of issuance.</w:t>
      </w:r>
    </w:p>
    <w:p>
      <w:pPr>
        <w:spacing w:after="0" w:line="97" w:lineRule="exact"/>
        <w:rPr>
          <w:sz w:val="20"/>
          <w:szCs w:val="20"/>
          <w:color w:val="auto"/>
        </w:rPr>
      </w:pPr>
    </w:p>
    <w:p>
      <w:pPr>
        <w:ind w:left="640" w:hanging="634"/>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share units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changes in DSUs for the three months ended March 31, 2024 and 2023: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0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Financial liability</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Number of DSUs</w:t>
            </w:r>
          </w:p>
        </w:tc>
      </w:tr>
      <w:tr>
        <w:trPr>
          <w:trHeight w:val="24"/>
        </w:trPr>
        <w:tc>
          <w:tcPr>
            <w:tcW w:w="6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2080" w:type="dxa"/>
            <w:vAlign w:val="bottom"/>
            <w:shd w:val="clear" w:color="auto" w:fill="CCEEFF"/>
          </w:tcPr>
          <w:p>
            <w:pPr>
              <w:jc w:val="right"/>
              <w:ind w:right="189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521,679</w:t>
            </w:r>
          </w:p>
        </w:tc>
      </w:tr>
      <w:tr>
        <w:trPr>
          <w:trHeight w:val="225"/>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Loss on revaluation</w:t>
            </w:r>
          </w:p>
        </w:tc>
        <w:tc>
          <w:tcPr>
            <w:tcW w:w="2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080" w:type="dxa"/>
            <w:vAlign w:val="bottom"/>
            <w:tcBorders>
              <w:bottom w:val="single" w:sz="8" w:color="auto"/>
            </w:tcBorders>
            <w:shd w:val="clear" w:color="auto" w:fill="CCEEFF"/>
          </w:tcPr>
          <w:p>
            <w:pPr>
              <w:jc w:val="right"/>
              <w:ind w:right="189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521,679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r>
        <w:trPr>
          <w:trHeight w:val="307"/>
        </w:trPr>
        <w:tc>
          <w:tcPr>
            <w:tcW w:w="6120" w:type="dxa"/>
            <w:vAlign w:val="bottom"/>
          </w:tcPr>
          <w:p>
            <w:pPr>
              <w:spacing w:after="0"/>
              <w:rPr>
                <w:sz w:val="24"/>
                <w:szCs w:val="24"/>
                <w:color w:val="auto"/>
              </w:rPr>
            </w:pPr>
          </w:p>
        </w:tc>
        <w:tc>
          <w:tcPr>
            <w:tcW w:w="20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Financial liability</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Number of DSUs</w:t>
            </w:r>
          </w:p>
        </w:tc>
      </w:tr>
      <w:tr>
        <w:trPr>
          <w:trHeight w:val="24"/>
        </w:trPr>
        <w:tc>
          <w:tcPr>
            <w:tcW w:w="6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080" w:type="dxa"/>
            <w:vAlign w:val="bottom"/>
            <w:shd w:val="clear" w:color="auto" w:fill="CCEEFF"/>
          </w:tcPr>
          <w:p>
            <w:pPr>
              <w:jc w:val="right"/>
              <w:ind w:right="189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265,732</w:t>
            </w:r>
          </w:p>
        </w:tc>
      </w:tr>
      <w:tr>
        <w:trPr>
          <w:trHeight w:val="225"/>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Gain on revaluation</w:t>
            </w:r>
          </w:p>
        </w:tc>
        <w:tc>
          <w:tcPr>
            <w:tcW w:w="2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2080" w:type="dxa"/>
            <w:vAlign w:val="bottom"/>
            <w:tcBorders>
              <w:bottom w:val="single" w:sz="8" w:color="auto"/>
            </w:tcBorders>
            <w:shd w:val="clear" w:color="auto" w:fill="CCEEFF"/>
          </w:tcPr>
          <w:p>
            <w:pPr>
              <w:jc w:val="right"/>
              <w:ind w:right="189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7" w:lineRule="exact"/>
        <w:rPr>
          <w:sz w:val="20"/>
          <w:szCs w:val="20"/>
          <w:color w:val="auto"/>
        </w:rPr>
      </w:pPr>
    </w:p>
    <w:p>
      <w:pPr>
        <w:sectPr>
          <w:pgSz w:w="11900" w:h="16838" w:orient="portrait"/>
          <w:cols w:equalWidth="0" w:num="2">
            <w:col w:w="8680" w:space="720"/>
            <w:col w:w="1840"/>
          </w:cols>
          <w:pgMar w:left="320" w:top="18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8. Loss per Share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from continuing and discontinued operations are calculated as follows (in thousands, except share and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per share computation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5"/>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from continuing operations attributable to the shareholders of Cronos Group</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(19,169)</w:t>
            </w:r>
          </w:p>
        </w:tc>
      </w:tr>
      <w:tr>
        <w:trPr>
          <w:trHeight w:val="225"/>
        </w:trPr>
        <w:tc>
          <w:tcPr>
            <w:tcW w:w="84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Weighted-average number of common shares outstanding for computation for basic and diluted earnings per share</w:t>
            </w:r>
            <w:r>
              <w:rPr>
                <w:rFonts w:ascii="Times New Roman" w:cs="Times New Roman" w:eastAsia="Times New Roman" w:hAnsi="Times New Roman"/>
                <w:sz w:val="22"/>
                <w:szCs w:val="22"/>
                <w:color w:val="auto"/>
                <w:vertAlign w:val="superscript"/>
              </w:rPr>
              <w:t>(i)</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381,442,597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380,634,208</w:t>
            </w:r>
          </w:p>
        </w:tc>
      </w:tr>
      <w:tr>
        <w:trPr>
          <w:trHeight w:val="218"/>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Basic loss from continuing operations per share</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43"/>
        </w:trPr>
        <w:tc>
          <w:tcPr>
            <w:tcW w:w="8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loss per share from continuing operations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 attributable to the shareholders of Cronos Group</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25"/>
        </w:trPr>
        <w:tc>
          <w:tcPr>
            <w:tcW w:w="842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Weighted-average number of common shares outstanding for computation for basic and diluted earnings per share</w:t>
            </w:r>
            <w:r>
              <w:rPr>
                <w:rFonts w:ascii="Times New Roman" w:cs="Times New Roman" w:eastAsia="Times New Roman" w:hAnsi="Times New Roman"/>
                <w:sz w:val="22"/>
                <w:szCs w:val="22"/>
                <w:color w:val="auto"/>
                <w:vertAlign w:val="superscript"/>
              </w:rPr>
              <w:t>(i)</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381,442,597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380,634,208</w:t>
            </w:r>
          </w:p>
        </w:tc>
      </w:tr>
      <w:tr>
        <w:trPr>
          <w:trHeight w:val="218"/>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loss from discontinued operations per share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loss from discontinued operations per share</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320" w:hanging="314"/>
        <w:spacing w:after="0" w:line="223" w:lineRule="auto"/>
        <w:tabs>
          <w:tab w:leader="none" w:pos="314"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computing diluted loss per share, incremental common shares are not considered in periods in which a net loss is reported as the inclusion of the common share equivalents would be anti-dilutive.</w:t>
      </w:r>
    </w:p>
    <w:p>
      <w:pPr>
        <w:spacing w:after="0" w:line="10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2024 and 2023, total securities of 24,580,665 and 30,086,428, respectively, were not included in the computation of diluted shares outstanding because the effect would be anti-dilutive.</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9. Commitments and Contingencies</w:t>
      </w:r>
    </w:p>
    <w:p>
      <w:pPr>
        <w:spacing w:after="0" w:line="220" w:lineRule="exact"/>
        <w:rPr>
          <w:sz w:val="20"/>
          <w:szCs w:val="20"/>
          <w:color w:val="auto"/>
        </w:rPr>
      </w:pPr>
    </w:p>
    <w:p>
      <w:pPr>
        <w:ind w:left="640" w:hanging="634"/>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information regarding commitments as disclosed in the Company’s Annual Report.</w:t>
      </w:r>
    </w:p>
    <w:p>
      <w:pPr>
        <w:spacing w:after="0" w:line="109" w:lineRule="exact"/>
        <w:rPr>
          <w:sz w:val="20"/>
          <w:szCs w:val="20"/>
          <w:color w:val="auto"/>
        </w:rPr>
      </w:pPr>
    </w:p>
    <w:p>
      <w:pPr>
        <w:ind w:left="640" w:hanging="634"/>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subject to various legal proceedings in the ordinary course of its business and in connection with its marketing, distribution and sale of its products. Many of these legal proceedings are in the early stages of litigation and seek damages that are unspecified or not quantified. Although the outcome of these matters cannot be predicted with certainty, the Company does not believe these legal proceedings, individually or in the aggregate, will have a material adverse effect on its financial condition but could be material to its results of operations for a quarterly period depending, in part, on its results for that quarter.</w:t>
      </w:r>
    </w:p>
    <w:p>
      <w:pPr>
        <w:spacing w:after="0" w:line="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Class action complaints relating to restatement of 2019 interim financial statements</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March 11 and 12, 2020, two alleged shareholders of the Company separately filed two putative class action complaints in the U.S. District Court for the Eastern District of New York against the Company and its Chief Executive Officer and former Chief Financial Officer. The court consolidated the cases, and the consolidated amended complaint alleges violations of Section 10(b) of the Securities Exchange Act of 1934 (the “Exchange Act”) and Rule 10b-5, promulgated thereunder, against all defendants, and Section 20(a) of the Exchange Act against the individual defendants. The consolidated amended complaint generally alleges that certain of the Company’s prior public statements about revenues and internal controls were incorrect based on the Company’s disclosures relating to the Audit Committee of the Board of Directors’ review of the appropriateness of revenue recognized in connection with certain bulk resin purchases and sales of products through the wholesale channel. The consolidated amended complaint does not quantify a damage request. The defendants moved to dismiss on February 8, 2021. On November 17, 2023, the court entered an order granting the motion and dismissed the case with prejudice. On December 1, 2023, the shareholder plaintiffs sought reconsideration of the dismissal, requesting that the court instead dismiss the action without prejudice and permit the plaintiffs to seek leave to further amend the complaint. The reconsideration motion is pending.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8" w:lineRule="exact"/>
        <w:rPr>
          <w:sz w:val="20"/>
          <w:szCs w:val="20"/>
          <w:color w:val="auto"/>
        </w:rPr>
      </w:pPr>
    </w:p>
    <w:p>
      <w:pPr>
        <w:ind w:left="20"/>
        <w:spacing w:after="0"/>
        <w:tabs>
          <w:tab w:leader="none" w:pos="938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On June 3, 2020, an alleged shareholder filed a Statement of Claim, as amended on August 12, 2020, in the Ontario Superior Court of Justice in Toronto, Ontario, Canada, seeking, among other things, an order certifying the action as a class action on behalf of a putative class of shareholders and damages of an unspecified amount. The Amended Statement of Claim named (i) the Company, (ii) its Chief Executive Officer, (iii) former Chief Financial Officer, (iv) former Chief Financial Officer and Chief Commercial Officer, and (v) current and former members of the Board as defendants and alleged breaches of the Ontario Securities Act, oppression under the Ontario Business Corporations Act and common law misrepresentation. The Amended Statement of Claim generally alleged that certain of the Company’s prior public statements about revenues and internal controls were misrepresentations based on the Company’s March 2, 2020 disclosure that the Audit Committee of the Board of Directors was conducting a review of the appropriateness of revenue recognized in connection with certain bulk resin purchases and sales of products through the wholesale channel, and the Company’s subsequent restatement. The Amended Statement of Claim did not quantify a damage request. On June 28, 2021, the Court dismissed motions brought by the plaintiff for leave to commence a claim for misrepresentation under the Ontario Securities Act and for certification of the action as a class action. The plaintiff appealed the Court’s dismissal of the motions only with respect to the Company, the Chief Executive Officer, and the now former Chief Financial Officer; the remaining defendants were dismissed from the matter with prejudice and the Company and all individual defendants agreed not to seek costs from plaintiff in connection with the dismissal of the motions. On September 26, 2022, the Court of Appeal for Ontario reversed the Superior Court’s dismissal of the leave and certification motions, granted the plaintiff leave to proceed to bring a claim for misrepresentation under the Ontario Securities Act, and remitted the certification motion back to the Superior Court. On April 11, 2023, the plaintiff filed a Fresh as Amended Statement of Claim, which reflected the dismissal of the defendants for which an appeal was not sought, the removal of the claims for oppression under the Ontario Business Corporations Act and common law misrepresentation, as well as shortening the proposed class period. On October 10, 2023, the Superior Court certified the action on behalf of a class of persons or entities who acquired shares in the secondary market, including on the TSX and Nasdaq, during the period from May 9, 2019 to March 30, 2020, other than certain excluded persons.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Regulatory reviews relating to restatements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24, 2022, the Company announced regulatory settlements as follows: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Settlement</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24, 2022, the SEC issued an Order Instituting Cease-and-Desist Proceedings Pursuant to Section 8(a) of the Securities Act of 1933, as amended (the “Securities Act”) and Section 21(c) of the Exchange Act, Making Findings, and Imposing a Cease-and-Desist Order (the “Settlement Order”) resolving the Restatements.</w:t>
      </w:r>
    </w:p>
    <w:p>
      <w:pPr>
        <w:spacing w:after="0" w:line="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agreed to settle with the SEC, without admitting or denying the allegations described in the Settlement Order. The Settlement Order fully and finally disposed of the investigation of the Company by the SEC into the Restatements without the payment of any civil penalty or other amount.</w:t>
      </w:r>
    </w:p>
    <w:p>
      <w:pPr>
        <w:spacing w:after="0" w:line="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Settlement Order required the Company to cease and desist from committing or causing any violations and any future violations of Section 17(a) of the Securities Act, Sections 10(b), 13(a), 13(b)(2)(B) of the Exchange Act and Rules 10b-5, 13a-13, 13a-15(a), 13a-16 and 12b-20 thereunder.</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 result of the Settlement Order, the Company (i) lost its status as a well-known seasoned issuer for a period of three years, (ii) is unable to rely on the private offering exemptions provided by Regulations A and D under the Securities Act for a period of five years and (iii) is unable to rely on the safe harbor provisions of the U.S. Private Securities Litigation Reform Act of 1995 for a period of three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OSC Settlement</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October 24, 2022, the Ontario Capital Markets Tribunal approved a settlement agreement (the “Settlement Agreement”) between the Company and the staff of the Ontario Securities Commission (the “OSC”), resolving the Restatements.</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terms of the Settlement Agreement, which fully and finally disposed the investigation of the Company by the OSC, Cronos agreed to pay a total of C$1.34 million to fully settle the matter, and acknowledged that it had failed to comply with the requirement under Section 77 of the Ontario Securities Act to file interim financial reports in the manner set out therein and had acted in a manner contrary to the public interest.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7" w:lineRule="exact"/>
        <w:rPr>
          <w:sz w:val="20"/>
          <w:szCs w:val="20"/>
          <w:color w:val="auto"/>
        </w:rPr>
      </w:pPr>
    </w:p>
    <w:p>
      <w:pPr>
        <w:sectPr>
          <w:pgSz w:w="11900" w:h="16838" w:orient="portrait"/>
          <w:cols w:equalWidth="0" w:num="2">
            <w:col w:w="8680" w:space="720"/>
            <w:col w:w="1840"/>
          </w:cols>
          <w:pgMar w:left="320" w:top="18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(iii) Litigation and regulatory inquiries relating to marketing, distribution, import and sale of products</w:t>
      </w:r>
    </w:p>
    <w:p>
      <w:pPr>
        <w:spacing w:after="0" w:line="1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17, 2023, a group of plaintiffs led by the Green Leaf (Ale Yarok) political party filed a Statement of Claim and Request for Approval of a Class Action on behalf of a purported class of Israeli cannabis consumers in the District Court of Tel Aviv, Israel, against 26 cannabis-related parties, including three Cronos Israel entities. The Statement of Claim alleges that the defendants violated certain laws relating to the marketing of medical cannabis products, including marketing to unlicensed cannabis consumers. The lawsuit seeks a total of ILS 420 million. The Cronos Israel defendants moved to dismiss the action on August 13, 2023.</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January 18, 2024, the Company was notified that the Trade Levies Commissioner of the Israel Ministry of Economy and Industry initiated a public investigation of alleged dumping of medical cannabis imports from Canada into Israel. The Company is responding to requests for information from the Ministry. The Company cannot predict the outcome of the investigation.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litigation and regulatory proceedings relating to the marketing, distribution, import and sale of our products to increase.</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10. Fair Value Measurements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complies with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In general, fair values are determined by:</w:t>
      </w:r>
    </w:p>
    <w:p>
      <w:pPr>
        <w:spacing w:after="0" w:line="69"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utilize quoted prices (unadjusted) in active markets for identical assets or liabilities.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utilize data points that are observable such as quoted prices, interest rates and yield curves.</w:t>
      </w:r>
    </w:p>
    <w:p>
      <w:pPr>
        <w:spacing w:after="0" w:line="111"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data points for the asset or liability, and include situations where there is little, if any, market activity for the asset or liability.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
        </w:trPr>
        <w:tc>
          <w:tcPr>
            <w:tcW w:w="5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5"/>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855,114</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855,114</w:t>
            </w:r>
          </w:p>
        </w:tc>
      </w:tr>
      <w:tr>
        <w:trPr>
          <w:trHeight w:val="225"/>
        </w:trPr>
        <w:tc>
          <w:tcPr>
            <w:tcW w:w="52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2"/>
                <w:szCs w:val="22"/>
                <w:color w:val="auto"/>
                <w:vertAlign w:val="superscript"/>
              </w:rPr>
              <w:t>(i)</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94"/>
        </w:trPr>
        <w:tc>
          <w:tcPr>
            <w:tcW w:w="5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
        </w:trPr>
        <w:tc>
          <w:tcPr>
            <w:tcW w:w="5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5"/>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669,291</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669,291</w:t>
            </w:r>
          </w:p>
        </w:tc>
      </w:tr>
      <w:tr>
        <w:trPr>
          <w:trHeight w:val="22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192,237</w:t>
            </w:r>
          </w:p>
        </w:tc>
      </w:tr>
      <w:tr>
        <w:trPr>
          <w:trHeight w:val="225"/>
        </w:trPr>
        <w:tc>
          <w:tcPr>
            <w:tcW w:w="52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2"/>
                <w:szCs w:val="22"/>
                <w:color w:val="auto"/>
                <w:vertAlign w:val="superscript"/>
              </w:rPr>
              <w:t>(i)</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r>
      <w:tr>
        <w:trPr>
          <w:trHeight w:val="231"/>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57" w:lineRule="exact"/>
        <w:rPr>
          <w:sz w:val="20"/>
          <w:szCs w:val="20"/>
          <w:color w:val="auto"/>
        </w:rPr>
      </w:pPr>
    </w:p>
    <w:p>
      <w:pPr>
        <w:ind w:left="640" w:hanging="634"/>
        <w:spacing w:after="0" w:line="271" w:lineRule="auto"/>
        <w:tabs>
          <w:tab w:leader="none" w:pos="634" w:val="left"/>
        </w:tabs>
        <w:numPr>
          <w:ilvl w:val="0"/>
          <w:numId w:val="23"/>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As of March 31, 2024 and December 31, 2023, the Company’s influence on Vitura is deemed non-significant and the investment is considered an equity security with a readily determinable fair value. See Note 4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8" w:lineRule="exact"/>
        <w:rPr>
          <w:sz w:val="20"/>
          <w:szCs w:val="20"/>
          <w:color w:val="auto"/>
        </w:rPr>
      </w:pPr>
    </w:p>
    <w:p>
      <w:pPr>
        <w:ind w:left="20"/>
        <w:spacing w:after="0"/>
        <w:tabs>
          <w:tab w:leader="none" w:pos="938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categories during the periods presented.</w:t>
      </w:r>
    </w:p>
    <w:p>
      <w:pPr>
        <w:spacing w:after="0" w:line="11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that are measured at fair value on a non-recurring basis and indicates the fair value hierarchy of the valuation techniques the Company utilized to determine such fair value: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5"/>
        </w:trPr>
        <w:tc>
          <w:tcPr>
            <w:tcW w:w="51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2"/>
                <w:szCs w:val="22"/>
                <w:color w:val="auto"/>
                <w:vertAlign w:val="superscript"/>
              </w:rPr>
              <w:t>(i)</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12,916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12,916</w:t>
            </w:r>
          </w:p>
        </w:tc>
      </w:tr>
      <w:tr>
        <w:trPr>
          <w:trHeight w:val="387"/>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5"/>
        </w:trPr>
        <w:tc>
          <w:tcPr>
            <w:tcW w:w="51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2"/>
                <w:szCs w:val="22"/>
                <w:color w:val="auto"/>
                <w:vertAlign w:val="superscript"/>
              </w:rPr>
              <w:t>(i)</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r>
    </w:tbl>
    <w:p>
      <w:pPr>
        <w:spacing w:after="0" w:line="176" w:lineRule="exact"/>
        <w:rPr>
          <w:sz w:val="20"/>
          <w:szCs w:val="20"/>
          <w:color w:val="auto"/>
        </w:rPr>
      </w:pPr>
    </w:p>
    <w:p>
      <w:pPr>
        <w:ind w:left="640" w:right="100" w:hanging="634"/>
        <w:spacing w:after="0" w:line="212" w:lineRule="auto"/>
        <w:tabs>
          <w:tab w:leader="none" w:pos="629"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On June 14, 2021, the Company purchased an option to acquire 473,787 shares of Class A Common Stock of PharmaCann, a vertically integrated cannabis company in the United States, at an exercise price of $0.0001 per share, representing approximately 10.5% of PharmaCann’s issued and outstanding capital stock on a fully diluted basis as of the date of the PharmaCann Option, for an aggregate purchase price of approximately $110,392. As of March 31, 2024 and December 31, 2023, based on updated information provided by PharmaCann in the first quarter, the Company’s ownership percentage in PharmaCann on a fully diluted basis was approximately 6.3% and 6.6%. See Note 4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categories during the periods presented.</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11. Related Party Transactions</w:t>
      </w:r>
    </w:p>
    <w:p>
      <w:pPr>
        <w:spacing w:after="0" w:line="220" w:lineRule="exact"/>
        <w:rPr>
          <w:sz w:val="20"/>
          <w:szCs w:val="20"/>
          <w:color w:val="auto"/>
        </w:rPr>
      </w:pPr>
    </w:p>
    <w:p>
      <w:pPr>
        <w:ind w:left="1280" w:hanging="638"/>
        <w:spacing w:after="0"/>
        <w:tabs>
          <w:tab w:leader="none" w:pos="12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Cronos GrowCo</w:t>
      </w:r>
    </w:p>
    <w:p>
      <w:pPr>
        <w:spacing w:after="0" w:line="1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holds a variable interest in Cronos GrowCo through its ownership of 50% of Cronos GrowCo’s common shares and senior secured debt in Cronos GrowCo. See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for additional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the following purchases of cannabis products from Cronos GrowCo:</w:t>
      </w:r>
    </w:p>
    <w:p>
      <w:pPr>
        <w:spacing w:after="0" w:line="145"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5346700</wp:posOffset>
            </wp:positionH>
            <wp:positionV relativeFrom="paragraph">
              <wp:posOffset>31115</wp:posOffset>
            </wp:positionV>
            <wp:extent cx="17919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31" w:lineRule="exact"/>
        <w:rPr>
          <w:sz w:val="20"/>
          <w:szCs w:val="20"/>
          <w:color w:val="auto"/>
        </w:rPr>
      </w:pPr>
    </w:p>
    <w:p>
      <w:pPr>
        <w:ind w:left="896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4" w:lineRule="exact"/>
        <w:rPr>
          <w:sz w:val="20"/>
          <w:szCs w:val="20"/>
          <w:color w:val="auto"/>
        </w:rPr>
      </w:pPr>
    </w:p>
    <w:p>
      <w:pPr>
        <w:ind w:left="20"/>
        <w:spacing w:after="0"/>
        <w:tabs>
          <w:tab w:leader="none" w:pos="8420" w:val="left"/>
          <w:tab w:leader="none" w:pos="9300" w:val="left"/>
          <w:tab w:leader="none" w:pos="9880" w:val="left"/>
          <w:tab w:leader="none" w:pos="10760" w:val="left"/>
        </w:tabs>
        <w:rPr>
          <w:sz w:val="20"/>
          <w:szCs w:val="20"/>
          <w:color w:val="auto"/>
        </w:rPr>
      </w:pPr>
      <w:r>
        <w:rPr>
          <w:rFonts w:ascii="Times New Roman" w:cs="Times New Roman" w:eastAsia="Times New Roman" w:hAnsi="Times New Roman"/>
          <w:sz w:val="18"/>
          <w:szCs w:val="18"/>
          <w:color w:val="auto"/>
        </w:rPr>
        <w:t>Cronos GrowCo – purchases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7,010</w:t>
        <w:tab/>
        <w:t>$</w:t>
      </w:r>
      <w:r>
        <w:rPr>
          <w:sz w:val="20"/>
          <w:szCs w:val="20"/>
          <w:color w:val="auto"/>
        </w:rPr>
        <w:tab/>
      </w:r>
      <w:r>
        <w:rPr>
          <w:rFonts w:ascii="Times New Roman" w:cs="Times New Roman" w:eastAsia="Times New Roman" w:hAnsi="Times New Roman"/>
          <w:sz w:val="17"/>
          <w:szCs w:val="17"/>
          <w:color w:val="auto"/>
        </w:rPr>
        <w:t>7,466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51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the Company had payables outstanding to Cronos GrowCo of $1,501 and $2,267, respectively.</w:t>
      </w:r>
    </w:p>
    <w:p>
      <w:pPr>
        <w:spacing w:after="0" w:line="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third quarter of 2023, the Company, as supplier, entered into a cannabis germplasm supply agreement with Cronos GrowCo as buyer. During the three months ended March 31, 2024, the Company received $361 in relation to this agreement.</w:t>
      </w:r>
    </w:p>
    <w:p>
      <w:pPr>
        <w:spacing w:after="0" w:line="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on August 23, 2019, the Company, as lender, and Cronos GrowCo, as borrower, entered into the GrowCo Facility. See Note 5 “</w:t>
      </w:r>
      <w:r>
        <w:rPr>
          <w:rFonts w:ascii="Times New Roman" w:cs="Times New Roman" w:eastAsia="Times New Roman" w:hAnsi="Times New Roman"/>
          <w:sz w:val="18"/>
          <w:szCs w:val="18"/>
          <w:i w:val="1"/>
          <w:iCs w:val="1"/>
          <w:color w:val="auto"/>
        </w:rPr>
        <w:t>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net</w:t>
      </w:r>
      <w:r>
        <w:rPr>
          <w:rFonts w:ascii="Times New Roman" w:cs="Times New Roman" w:eastAsia="Times New Roman" w:hAnsi="Times New Roman"/>
          <w:sz w:val="18"/>
          <w:szCs w:val="18"/>
          <w:color w:val="auto"/>
        </w:rPr>
        <w:t>” for additional information.</w:t>
      </w:r>
    </w:p>
    <w:p>
      <w:pPr>
        <w:spacing w:after="0" w:line="53" w:lineRule="exact"/>
        <w:rPr>
          <w:sz w:val="20"/>
          <w:szCs w:val="20"/>
          <w:color w:val="auto"/>
        </w:rPr>
      </w:pPr>
    </w:p>
    <w:p>
      <w:pPr>
        <w:ind w:left="640" w:hanging="634"/>
        <w:spacing w:after="0"/>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Vendor Agreement</w:t>
      </w:r>
    </w:p>
    <w:p>
      <w:pPr>
        <w:spacing w:after="0" w:line="10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In November 2022, the Company entered into an agreement with an external vendor whereby the vendor would provide certain manufacturing services to the Company. The vendor then subcontracted out a portion of those services to another company whose chief executive officer is an immediate family member of an executive of the Company. The Company purchased $833 of products and services under this subcontracted agreement for the three months ended March 31, 2023. The Company had $0 and $28 in outstanding payables related to the subcontracted agreement as of March 31, 2024 and December 31, 2023, respectively.</w:t>
      </w:r>
    </w:p>
    <w:p>
      <w:pPr>
        <w:spacing w:after="0" w:line="6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November 2023, the Company negotiated a direct contract with the related-party vendor. During the three months ended March 31, 2024, the Company purchased $772 of products and services under this agreement and had outstanding accounts payable related to the agreement of $134 and $11 as of March 31, 2024 and December 31, 2023, respectively.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7" w:lineRule="exact"/>
        <w:rPr>
          <w:sz w:val="20"/>
          <w:szCs w:val="20"/>
          <w:color w:val="auto"/>
        </w:rPr>
      </w:pPr>
    </w:p>
    <w:p>
      <w:pPr>
        <w:sectPr>
          <w:pgSz w:w="11900" w:h="16838" w:orient="portrait"/>
          <w:cols w:equalWidth="0" w:num="2">
            <w:col w:w="8680" w:space="720"/>
            <w:col w:w="1840"/>
          </w:cols>
          <w:pgMar w:left="320" w:top="18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12. Subsequent Events</w:t>
      </w:r>
    </w:p>
    <w:p>
      <w:pPr>
        <w:spacing w:after="0" w:line="22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Held-for-sale Classification of Peace Naturals Campus</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November 27, 2023, the Company announced that Peace Naturals had entered into an agreement (the “Sale Agreement”) with Future Farmco Canada Inc. (“Future Farmco”) for the sale and leaseback of the Peace Naturals Campus. Pursuant to the terms of the Sale Agreement, Future Farmco has agreed to acquire the Peace Naturals Campus for an aggregate purchase price of C$23 million cash, subject to the terms and conditions set forth therein. At closing, the parties expect to enter into a lease agreement with respect to portions of the Peace Naturals Campus. In April 2024, the Company completed the activities required for the Peace Naturals Campus to be considered immediately available for sale, and therefore the underlying assets were reclassified to held-for-sale at that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other information, including Cronos Group’s condensed consolidated interim financial statements and the related notes to those statements, included in Part I, Item 1 of this Quarterly Report on Form 10-Q for the quarterly period ended March 31, 2024 (this “Quarterly Report”), consolidated financial statements appearing in the Company’s Annual Report on Form 10-K for the year ended December 31, 2023 (the “Annual Report”), Part I, Item 1A, Risk Factors, of the Annual Report and Part II, Item 1A, Risk Factors, of this Quarterly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Quarterly Report, the documents incorporated into this Quarterly Report by reference, other reports we file with, or furnish to, the SEC and other regulatory agencies, and statements by our directors, officers, other employees and other persons authorized to speak on our behalf contain information that may constitute forward-looking information and forward-looking statements within the meaning of applicable U.S. and Canadian securities laws and court decisions (collectively, “Forward-Looking Statements”), which are based upon our current internal expectations, estimates, projections, assumptions and beliefs. All information that is not clearly historical in nature may constitute Forward-Looking Statements. In some cases, Forward-Looking Statements can be identified by the use of forward-looking terminology, such as “expect”, “likely”, “may”, “will”, “should”, “intend”, “anticipate”, “potential”, “proposed”, “estimate” and other similar words, expressions and phrases, including negative and grammatical variations thereof, or statements that certain events or conditions “may” or “will” happen, or by discussion of strategy. Forward-Looking Statements include estimates, plans, expectations, opinions, forecasts, projections, targets, guidance or other statements that are not statements of historical fact.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with respect to:</w:t>
      </w:r>
    </w:p>
    <w:p>
      <w:pPr>
        <w:spacing w:after="0" w:line="151" w:lineRule="exact"/>
        <w:rPr>
          <w:sz w:val="20"/>
          <w:szCs w:val="20"/>
          <w:color w:val="auto"/>
        </w:rPr>
      </w:pPr>
    </w:p>
    <w:p>
      <w:pPr>
        <w:jc w:val="both"/>
        <w:ind w:left="320" w:hanging="314"/>
        <w:spacing w:after="0" w:line="239" w:lineRule="auto"/>
        <w:tabs>
          <w:tab w:leader="none" w:pos="3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expectations related to the conflict involving Israel, Hamas, Iran and other stakeholders in the region (the “Middle East Conflict”) and its impact on our operations in Israel, the supply of product in the market and the demand for product by medical patients in Israel, as well as any regional or global escalations and their impact to global commerce and stability;</w:t>
      </w:r>
    </w:p>
    <w:p>
      <w:pPr>
        <w:spacing w:after="0" w:line="9" w:lineRule="exact"/>
        <w:rPr>
          <w:rFonts w:ascii="Arial" w:cs="Arial" w:eastAsia="Arial" w:hAnsi="Arial"/>
          <w:sz w:val="21"/>
          <w:szCs w:val="21"/>
          <w:color w:val="auto"/>
        </w:rPr>
      </w:pPr>
    </w:p>
    <w:p>
      <w:pPr>
        <w:jc w:val="both"/>
        <w:ind w:left="320" w:hanging="314"/>
        <w:spacing w:after="0" w:line="224" w:lineRule="auto"/>
        <w:tabs>
          <w:tab w:leader="none" w:pos="3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expectations related to the German, Australian and United Kingdom (the “UK”) markets, including our strategic partnerships with Cansativa GmbH (“Cansativa”), Vitura Health Limited (“Vitura”) and GROW</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Pharma, respectively, and our plans to distribute the PEACE NATURALS® brand in Germany and the UK;</w:t>
      </w:r>
    </w:p>
    <w:p>
      <w:pPr>
        <w:spacing w:after="0" w:line="7" w:lineRule="exact"/>
        <w:rPr>
          <w:rFonts w:ascii="Arial" w:cs="Arial" w:eastAsia="Arial" w:hAnsi="Arial"/>
          <w:sz w:val="21"/>
          <w:szCs w:val="21"/>
          <w:color w:val="auto"/>
        </w:rPr>
      </w:pPr>
    </w:p>
    <w:p>
      <w:pPr>
        <w:jc w:val="both"/>
        <w:ind w:left="320" w:hanging="314"/>
        <w:spacing w:after="0" w:line="239" w:lineRule="auto"/>
        <w:tabs>
          <w:tab w:leader="none" w:pos="3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expectations related to our announcement of cost-cutting measures, including our decision to wind-down operations at our Winnipeg, Manitoba facility and list the facility for sale, the expected costs and benefits from the wind-down of production activities at the facility, challenges and effects related thereto as well as changes in strategy, metrics, investments, costs, operating expenses, employee turnover and other changes with respect thereto;</w:t>
      </w:r>
    </w:p>
    <w:p>
      <w:pPr>
        <w:spacing w:after="0" w:line="23" w:lineRule="exact"/>
        <w:rPr>
          <w:rFonts w:ascii="Arial" w:cs="Arial" w:eastAsia="Arial" w:hAnsi="Arial"/>
          <w:sz w:val="21"/>
          <w:szCs w:val="21"/>
          <w:color w:val="auto"/>
        </w:rPr>
      </w:pPr>
    </w:p>
    <w:p>
      <w:pPr>
        <w:ind w:left="320" w:hanging="314"/>
        <w:spacing w:after="0" w:line="244" w:lineRule="auto"/>
        <w:tabs>
          <w:tab w:leader="none" w:pos="3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expectations related to the impact of our decision to exit our U.S. hemp-derived cannabinoid product operations, including the costs, expenses and write-offs associated therewith, the impact on our operations and our financial statements and any future plans to re-enter the U.S. market;</w:t>
      </w:r>
    </w:p>
    <w:p>
      <w:pPr>
        <w:spacing w:after="0" w:line="21" w:lineRule="exact"/>
        <w:rPr>
          <w:rFonts w:ascii="Arial" w:cs="Arial" w:eastAsia="Arial" w:hAnsi="Arial"/>
          <w:sz w:val="21"/>
          <w:szCs w:val="21"/>
          <w:color w:val="auto"/>
        </w:rPr>
      </w:pPr>
    </w:p>
    <w:p>
      <w:pPr>
        <w:ind w:left="320" w:hanging="314"/>
        <w:spacing w:after="0" w:line="237" w:lineRule="auto"/>
        <w:tabs>
          <w:tab w:leader="none" w:pos="3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expectations related to our announced realignment (the “Realignment”) and any progress, challenges and effects related thereto as well as changes in strategy, metrics, investments, reporting structure, costs, operating expenses, employee turnover and other changes with respect thereto;</w:t>
      </w:r>
    </w:p>
    <w:p>
      <w:pPr>
        <w:spacing w:after="0" w:line="20" w:lineRule="exact"/>
        <w:rPr>
          <w:rFonts w:ascii="Arial" w:cs="Arial" w:eastAsia="Arial" w:hAnsi="Arial"/>
          <w:sz w:val="21"/>
          <w:szCs w:val="21"/>
          <w:color w:val="auto"/>
        </w:rPr>
      </w:pPr>
    </w:p>
    <w:p>
      <w:pPr>
        <w:ind w:left="320" w:hanging="314"/>
        <w:spacing w:after="0" w:line="237" w:lineRule="auto"/>
        <w:tabs>
          <w:tab w:leader="none" w:pos="3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the timing of the change in the nature of operations at, and the announced sale-leaseback of, our facility in Stayner, Ontario (the “Peace Naturals Campus”) and the expected costs and benefits from the wind-down of certain production activities at the Peace Naturals Campus;</w:t>
      </w:r>
    </w:p>
    <w:p>
      <w:pPr>
        <w:spacing w:after="0" w:line="20" w:lineRule="exact"/>
        <w:rPr>
          <w:rFonts w:ascii="Arial" w:cs="Arial" w:eastAsia="Arial" w:hAnsi="Arial"/>
          <w:sz w:val="21"/>
          <w:szCs w:val="21"/>
          <w:color w:val="auto"/>
        </w:rPr>
      </w:pPr>
    </w:p>
    <w:p>
      <w:pPr>
        <w:ind w:left="320" w:hanging="314"/>
        <w:spacing w:after="0" w:line="237" w:lineRule="auto"/>
        <w:tabs>
          <w:tab w:leader="none" w:pos="3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complete the sale and leaseback of the Peace Naturals Campus pursuant to the agreement with Future Farmco Canada Inc. (“Future Farmco”);</w:t>
      </w:r>
    </w:p>
    <w:p>
      <w:pPr>
        <w:spacing w:after="0" w:line="20" w:lineRule="exact"/>
        <w:rPr>
          <w:rFonts w:ascii="Arial" w:cs="Arial" w:eastAsia="Arial" w:hAnsi="Arial"/>
          <w:sz w:val="21"/>
          <w:szCs w:val="21"/>
          <w:color w:val="auto"/>
        </w:rPr>
      </w:pPr>
    </w:p>
    <w:p>
      <w:pPr>
        <w:ind w:left="320" w:hanging="314"/>
        <w:spacing w:after="0" w:line="237" w:lineRule="auto"/>
        <w:tabs>
          <w:tab w:leader="none" w:pos="3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acquire raw materials from suppliers, including Cronos Growing Company Inc. (“Cronos GrowCo”), and the costs and timing associated therewith;</w:t>
      </w:r>
    </w:p>
    <w:p>
      <w:pPr>
        <w:spacing w:after="0" w:line="20" w:lineRule="exact"/>
        <w:rPr>
          <w:rFonts w:ascii="Arial" w:cs="Arial" w:eastAsia="Arial" w:hAnsi="Arial"/>
          <w:sz w:val="21"/>
          <w:szCs w:val="21"/>
          <w:color w:val="auto"/>
        </w:rPr>
      </w:pPr>
    </w:p>
    <w:p>
      <w:pPr>
        <w:ind w:left="320" w:hanging="314"/>
        <w:spacing w:after="0" w:line="244" w:lineRule="auto"/>
        <w:tabs>
          <w:tab w:leader="none" w:pos="3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expectations regarding the potential success of, and the costs and benefits associated with, our joint ventures, strategic alliances and equity investments, including the strategic partnership (the “Ginkgo Strategic Partnership”) with Ginkgo Bioworks Holdings, Inc. (“Ginkgo”);</w:t>
      </w:r>
    </w:p>
    <w:p>
      <w:pPr>
        <w:spacing w:after="0" w:line="21" w:lineRule="exact"/>
        <w:rPr>
          <w:rFonts w:ascii="Arial" w:cs="Arial" w:eastAsia="Arial" w:hAnsi="Arial"/>
          <w:sz w:val="21"/>
          <w:szCs w:val="21"/>
          <w:color w:val="auto"/>
        </w:rPr>
      </w:pPr>
    </w:p>
    <w:p>
      <w:pPr>
        <w:ind w:left="320" w:hanging="314"/>
        <w:spacing w:after="0" w:line="237" w:lineRule="auto"/>
        <w:tabs>
          <w:tab w:leader="none" w:pos="3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or plans to identify, develop, commercialize or expand our technology and research and development (“R&amp;D”) initiatives in cannabinoids, or the success thereof;</w:t>
      </w:r>
    </w:p>
    <w:p>
      <w:pPr>
        <w:spacing w:after="0" w:line="10" w:lineRule="exact"/>
        <w:rPr>
          <w:rFonts w:ascii="Arial" w:cs="Arial" w:eastAsia="Arial" w:hAnsi="Arial"/>
          <w:sz w:val="21"/>
          <w:szCs w:val="21"/>
          <w:color w:val="auto"/>
        </w:rPr>
      </w:pPr>
    </w:p>
    <w:p>
      <w:pPr>
        <w:ind w:left="320" w:hanging="314"/>
        <w:spacing w:after="0"/>
        <w:tabs>
          <w:tab w:leader="none" w:pos="3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expectations regarding revenues, expenses, gross margins and capital expenditures;</w:t>
      </w:r>
    </w:p>
    <w:p>
      <w:pPr>
        <w:spacing w:after="0" w:line="20" w:lineRule="exact"/>
        <w:rPr>
          <w:rFonts w:ascii="Arial" w:cs="Arial" w:eastAsia="Arial" w:hAnsi="Arial"/>
          <w:sz w:val="21"/>
          <w:szCs w:val="21"/>
          <w:color w:val="auto"/>
        </w:rPr>
      </w:pPr>
    </w:p>
    <w:p>
      <w:pPr>
        <w:ind w:left="320" w:hanging="314"/>
        <w:spacing w:after="0" w:line="237" w:lineRule="auto"/>
        <w:tabs>
          <w:tab w:leader="none" w:pos="3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expectations regarding our future production and manufacturing strategy and operations, the costs and timing associated therewith and the receipt of applicable production and sale licenses;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p>
      <w:pPr>
        <w:ind w:left="320" w:hanging="314"/>
        <w:spacing w:after="0" w:line="237" w:lineRule="auto"/>
        <w:tabs>
          <w:tab w:leader="none" w:pos="3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ongoing impact of the legalization of additional cannabis product types and forms for adult-use in Canada, including federal, provincial, territorial and municipal regulations pertaining thereto, the related timing and impact thereof and our intentions to participate in such markets;</w:t>
      </w:r>
    </w:p>
    <w:p>
      <w:pPr>
        <w:spacing w:after="0" w:line="20" w:lineRule="exact"/>
        <w:rPr>
          <w:rFonts w:ascii="Arial" w:cs="Arial" w:eastAsia="Arial" w:hAnsi="Arial"/>
          <w:sz w:val="21"/>
          <w:szCs w:val="21"/>
          <w:color w:val="auto"/>
        </w:rPr>
      </w:pPr>
    </w:p>
    <w:p>
      <w:pPr>
        <w:ind w:left="320" w:hanging="314"/>
        <w:spacing w:after="0" w:line="237" w:lineRule="auto"/>
        <w:tabs>
          <w:tab w:leader="none" w:pos="3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legalization of the use of cannabis for medical or adult-use in jurisdictions outside of Canada, including the United States and Germany, the related timing and impact thereof and our intentions to participate in such markets, if and when such use is legalized;</w:t>
      </w:r>
    </w:p>
    <w:p>
      <w:pPr>
        <w:spacing w:after="0" w:line="20" w:lineRule="exact"/>
        <w:rPr>
          <w:rFonts w:ascii="Arial" w:cs="Arial" w:eastAsia="Arial" w:hAnsi="Arial"/>
          <w:sz w:val="21"/>
          <w:szCs w:val="21"/>
          <w:color w:val="auto"/>
        </w:rPr>
      </w:pPr>
    </w:p>
    <w:p>
      <w:pPr>
        <w:ind w:left="320" w:hanging="314"/>
        <w:spacing w:after="0" w:line="244" w:lineRule="auto"/>
        <w:tabs>
          <w:tab w:leader="none" w:pos="3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grant, renewal, withdrawal, suspension, delay and impact of any license or supplemental license to conduct activities with cannabis or any amendments thereof;</w:t>
      </w:r>
    </w:p>
    <w:p>
      <w:pPr>
        <w:spacing w:after="0" w:line="10" w:lineRule="exact"/>
        <w:rPr>
          <w:rFonts w:ascii="Arial" w:cs="Arial" w:eastAsia="Arial" w:hAnsi="Arial"/>
          <w:sz w:val="21"/>
          <w:szCs w:val="21"/>
          <w:color w:val="auto"/>
        </w:rPr>
      </w:pPr>
    </w:p>
    <w:p>
      <w:pPr>
        <w:ind w:left="320" w:hanging="314"/>
        <w:spacing w:after="0"/>
        <w:tabs>
          <w:tab w:leader="none" w:pos="3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successfully create and launch brands and cannabis products;</w:t>
      </w:r>
    </w:p>
    <w:p>
      <w:pPr>
        <w:spacing w:after="0" w:line="14" w:lineRule="exact"/>
        <w:rPr>
          <w:rFonts w:ascii="Arial" w:cs="Arial" w:eastAsia="Arial" w:hAnsi="Arial"/>
          <w:sz w:val="21"/>
          <w:szCs w:val="21"/>
          <w:color w:val="auto"/>
        </w:rPr>
      </w:pPr>
    </w:p>
    <w:p>
      <w:pPr>
        <w:ind w:left="320" w:hanging="314"/>
        <w:spacing w:after="0" w:line="223" w:lineRule="auto"/>
        <w:tabs>
          <w:tab w:leader="none" w:pos="3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expectations related to the differentiation of our products, including through the utilization of rare cannabinoids;</w:t>
      </w:r>
    </w:p>
    <w:p>
      <w:pPr>
        <w:spacing w:after="0" w:line="14" w:lineRule="exact"/>
        <w:rPr>
          <w:rFonts w:ascii="Arial" w:cs="Arial" w:eastAsia="Arial" w:hAnsi="Arial"/>
          <w:sz w:val="21"/>
          <w:szCs w:val="21"/>
          <w:color w:val="auto"/>
        </w:rPr>
      </w:pPr>
    </w:p>
    <w:p>
      <w:pPr>
        <w:ind w:left="320" w:hanging="314"/>
        <w:spacing w:after="0" w:line="223" w:lineRule="auto"/>
        <w:tabs>
          <w:tab w:leader="none" w:pos="3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benefits, viability, safety, efficacy, dosing and social acceptance of cannabis, including CBD and other cannabinoids;</w:t>
      </w:r>
    </w:p>
    <w:p>
      <w:pPr>
        <w:spacing w:after="0" w:line="20" w:lineRule="exact"/>
        <w:rPr>
          <w:rFonts w:ascii="Arial" w:cs="Arial" w:eastAsia="Arial" w:hAnsi="Arial"/>
          <w:sz w:val="21"/>
          <w:szCs w:val="21"/>
          <w:color w:val="auto"/>
        </w:rPr>
      </w:pPr>
    </w:p>
    <w:p>
      <w:pPr>
        <w:jc w:val="both"/>
        <w:ind w:left="320" w:hanging="314"/>
        <w:spacing w:after="0" w:line="242" w:lineRule="auto"/>
        <w:tabs>
          <w:tab w:leader="none" w:pos="3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laws and regulations and any amendments thereto applicable to our business and the impact thereof, including uncertainty regarding the application of United States (“U.S.”) state and federal law to cannabis and U.S. hemp (including CBD and other U.S. hemp-derived cannabinoids) products and the scope of any regulations by the U.S. Food and Drug Administration (the “FDA”), the U.S. Drug Enforcement Administration (the “DEA”), the U.S. Federal Trade Commission (the “FTC”), the U.S. Patent and Trademark Office (the “PTO”) and any state equivalent regulatory agencies over cannabis and U.S. hemp (including CBD and other U.S. hemp-derived cannabinoids) products, including the possibility marijuana is moved from Schedule I to Schedule III under the U.S. Controlled Substances Act;</w:t>
      </w:r>
    </w:p>
    <w:p>
      <w:pPr>
        <w:spacing w:after="0" w:line="24" w:lineRule="exact"/>
        <w:rPr>
          <w:rFonts w:ascii="Arial" w:cs="Arial" w:eastAsia="Arial" w:hAnsi="Arial"/>
          <w:sz w:val="21"/>
          <w:szCs w:val="21"/>
          <w:color w:val="auto"/>
        </w:rPr>
      </w:pPr>
    </w:p>
    <w:p>
      <w:pPr>
        <w:ind w:left="320" w:hanging="314"/>
        <w:spacing w:after="0" w:line="237" w:lineRule="auto"/>
        <w:tabs>
          <w:tab w:leader="none" w:pos="3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anticipated benefits and impact of Altria Group Inc.’s investment in the Company (the “Altria Investment”), pursuant to a subscription agreement dated December 7, 2018;</w:t>
      </w:r>
    </w:p>
    <w:p>
      <w:pPr>
        <w:spacing w:after="0" w:line="20" w:lineRule="exact"/>
        <w:rPr>
          <w:rFonts w:ascii="Arial" w:cs="Arial" w:eastAsia="Arial" w:hAnsi="Arial"/>
          <w:sz w:val="21"/>
          <w:szCs w:val="21"/>
          <w:color w:val="auto"/>
        </w:rPr>
      </w:pPr>
    </w:p>
    <w:p>
      <w:pPr>
        <w:jc w:val="both"/>
        <w:ind w:left="320" w:hanging="314"/>
        <w:spacing w:after="0" w:line="239" w:lineRule="auto"/>
        <w:tabs>
          <w:tab w:leader="none" w:pos="3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uncertainties as to our ability to exercise our option (the “PharmaCann Option”) in PharmaCann Inc. (“PharmaCann”), in the near term or the future, in full or in part, including the uncertainties as to the status and future development of federal legalization of cannabis in the U.S. and our ability to realize the anticipated benefits of the transaction with PharmaCann;</w:t>
      </w:r>
    </w:p>
    <w:p>
      <w:pPr>
        <w:spacing w:after="0" w:line="12" w:lineRule="exact"/>
        <w:rPr>
          <w:rFonts w:ascii="Arial" w:cs="Arial" w:eastAsia="Arial" w:hAnsi="Arial"/>
          <w:sz w:val="21"/>
          <w:szCs w:val="21"/>
          <w:color w:val="auto"/>
        </w:rPr>
      </w:pPr>
    </w:p>
    <w:p>
      <w:pPr>
        <w:ind w:left="320" w:hanging="314"/>
        <w:spacing w:after="0"/>
        <w:tabs>
          <w:tab w:leader="none" w:pos="3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expectations regarding the implementation and effectiveness of key personnel changes;</w:t>
      </w:r>
    </w:p>
    <w:p>
      <w:pPr>
        <w:spacing w:after="0" w:line="14" w:lineRule="exact"/>
        <w:rPr>
          <w:rFonts w:ascii="Arial" w:cs="Arial" w:eastAsia="Arial" w:hAnsi="Arial"/>
          <w:sz w:val="21"/>
          <w:szCs w:val="21"/>
          <w:color w:val="auto"/>
        </w:rPr>
      </w:pPr>
    </w:p>
    <w:p>
      <w:pPr>
        <w:ind w:left="320" w:hanging="314"/>
        <w:spacing w:after="0" w:line="236" w:lineRule="auto"/>
        <w:tabs>
          <w:tab w:leader="none" w:pos="3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expectations regarding acquisitions and dispositions and the anticipated benefits therefrom;</w:t>
      </w:r>
    </w:p>
    <w:p>
      <w:pPr>
        <w:spacing w:after="0" w:line="23" w:lineRule="exact"/>
        <w:rPr>
          <w:rFonts w:ascii="Arial" w:cs="Arial" w:eastAsia="Arial" w:hAnsi="Arial"/>
          <w:sz w:val="21"/>
          <w:szCs w:val="21"/>
          <w:color w:val="auto"/>
        </w:rPr>
      </w:pPr>
    </w:p>
    <w:p>
      <w:pPr>
        <w:ind w:left="320" w:hanging="314"/>
        <w:spacing w:after="0"/>
        <w:tabs>
          <w:tab w:leader="none" w:pos="3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expectations of the amount or frequency of impairment losses, including as a result of the write-down of intangible assets, including goodwill;</w:t>
      </w:r>
    </w:p>
    <w:p>
      <w:pPr>
        <w:spacing w:after="0" w:line="20" w:lineRule="exact"/>
        <w:rPr>
          <w:rFonts w:ascii="Arial" w:cs="Arial" w:eastAsia="Arial" w:hAnsi="Arial"/>
          <w:sz w:val="21"/>
          <w:szCs w:val="21"/>
          <w:color w:val="auto"/>
        </w:rPr>
      </w:pPr>
    </w:p>
    <w:p>
      <w:pPr>
        <w:ind w:left="320" w:hanging="314"/>
        <w:spacing w:after="0" w:line="237" w:lineRule="auto"/>
        <w:tabs>
          <w:tab w:leader="none" w:pos="3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impact of the ongoing military conflict between Russia and Ukraine (and resulting sanctions) on our business, financial condition and results of operations or cash flows;</w:t>
      </w:r>
    </w:p>
    <w:p>
      <w:pPr>
        <w:spacing w:after="0" w:line="20" w:lineRule="exact"/>
        <w:rPr>
          <w:rFonts w:ascii="Arial" w:cs="Arial" w:eastAsia="Arial" w:hAnsi="Arial"/>
          <w:sz w:val="21"/>
          <w:szCs w:val="21"/>
          <w:color w:val="auto"/>
        </w:rPr>
      </w:pPr>
    </w:p>
    <w:p>
      <w:pPr>
        <w:ind w:left="320" w:right="20" w:hanging="314"/>
        <w:spacing w:after="0" w:line="237" w:lineRule="auto"/>
        <w:tabs>
          <w:tab w:leader="none" w:pos="3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our compliance with the terms of the settlement with the SEC (the “Settlement Order”) and the settlement agreement with the Ontario Securities Commission (the “Settlement Agreement”); and</w:t>
      </w:r>
    </w:p>
    <w:p>
      <w:pPr>
        <w:spacing w:after="0" w:line="20" w:lineRule="exact"/>
        <w:rPr>
          <w:rFonts w:ascii="Arial" w:cs="Arial" w:eastAsia="Arial" w:hAnsi="Arial"/>
          <w:sz w:val="21"/>
          <w:szCs w:val="21"/>
          <w:color w:val="auto"/>
        </w:rPr>
      </w:pPr>
    </w:p>
    <w:p>
      <w:pPr>
        <w:ind w:left="320" w:hanging="314"/>
        <w:spacing w:after="0" w:line="237" w:lineRule="auto"/>
        <w:tabs>
          <w:tab w:leader="none" w:pos="3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impact of the loss of our ability to rely on private offering exemptions under Regulation D of the Securities Act of 1933, as amended (the “Securities Act”), and the loss of our status as a well-known seasoned issuer, each as a result of the Settlement Order.</w:t>
      </w:r>
    </w:p>
    <w:p>
      <w:pPr>
        <w:spacing w:after="0" w:line="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of the Forward-Looking Statements contained herein concerning the industries in which we conduct our business are based on estimates prepared by us using data from publicly available governmental sources, market research, industry analysis and on assumptions based on data and knowledge of these industries, which we believe to be reasonable. However, although generally indicative of relative market positions, market shares and performance characteristics, such data is inherently imprecise. The industries in which we conduct our business involve risks and uncertainties that are subject to change based on various factors, which are described further below.</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Forward-Looking Statements contained herein are based upon certain material assumptions that were applied in drawing a conclusion or making a forecast or projection, including: (i) our ability to effectively navigate developments related to the Middle East Conflict and its impact on our employees and operations in Israel, the supply of product in the market and demand for product by medical patients in Israel; (ii) our ability to efficiently and effectively distribute our PEACE NATURALS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brand in Germany with our strategic partner Cansativa and in the UK with our strategic partner GROW</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Pharma and our ability to efficiently and effectively distribute products in Australia with our strategic partner Vitura; (iii) our ability to realize the expected cost-savings and other benefits related to the wind-down of our operations at our Winnipeg, Manitoba facility, (iv) our ability to realize the expected cost-savings, efficiencies and other benefits of our Realignment and other announced cost-cutting measures and employee turnover related thereto; (v) our ability to efficiently and effectively wind down certain production activities at the Peace Naturals Campus, receive the benefits of the change in the nature of our operations at, and the announced sale-leaseback of, our Peace Naturals Campus and acquire raw materials on a timely and cost-effective basis from third parties, including Cronos GrowCo; (vi) our ability to satisfy all conditions for the sale and leaseback of the Peace Naturals Campus; (vii) our ability to realize anticipated benefits, synergies or generate revenue, profits or value from our acquisitions and strategic investments; (viii) the production and manufacturing capabilities and output from our facilities and our joint ventures, strategic alliances and equity investments; (ix) government regulation of our activities and products including, but not limited to, the areas of cannabis taxation and environmental protection; (x) the timely receipt of any required regulatory authorizations, approvals, consents, permits and/or licenses; (xi) consumer interest in our products; (xii) our ability to differentiate our products, including through the utilization of rare cannabinoids; (xiii) competition; (xiv) anticipated and unanticipated costs; (xv) our ability to generate cash flow from operations; (xvi) our ability to conduct operations in a safe, efficient and effective manner; (xvii) our ability to hire and retain qualified staff, and acquire equipment and services in a timely and cost-efficient manner; (xviii) our ability to exercise the PharmaCann Option and realize the anticipated benefits of the transaction with PharmaCann; (xix) our ability to complete planned dispositions, and, if completed, obtain our anticipated sales price; (xx) general economic, financial market, regulatory and political conditions in which we operate; (xxi) management’s perceptions of historical trends, current conditions and expected future developments; and (xxii) other considerations that management believes to be appropriate in the circumstances. While our management considers these assumptions to be reasonable based on information currently available to management, there is no assurance that such expectations will prove to be correct.</w:t>
      </w:r>
    </w:p>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Quarterly Report and other reports we file with, or furnish to, the SEC and other regulatory agencies and made by our directors, officers, other employees and other persons authorized to speak on our behalf. Such factors include, without limitation, negative impacts on our employees, business and operations in Israel due to the Middle East Conflict, including that we may not be able to produce, import or sell our products or protect our people or facilities in Israel during the Middle East Conflict, the supply of product in the market and the demand for product by medical patients in Israel; that we may not be able to successfully continue to distribute our products in Germany, Australia and the UK or generate material revenue from sales in those markets; that we may not be able to achieve the anticipated benefits of the wind-down of our operations at our Winnipeg, Manitoba facility or be able to access raw materials on a timely and cost-effective basis from third-parties; that we may be unable to further streamline our operations and reduce expenses; that we may not be able to effectively and efficiently re-enter the U.S. market in the future; that we may not be able to wind-down certain production activities at, and complete the sale-leaseback of, the Peace Naturals Campus in a disciplined manner or achieve the anticipated benefits of the change in the nature of our operations or be able to access raw materials on a timely and cost-effective basis from third-parties, including Cronos GrowCo; the military conflict between Russia and Ukraine may disrupt our operations and those of our suppliers and distribution channels and negatively impact the demand for and use of our products; the risk that cost savings and any other synergies from the Altria Investment may not be fully realized or may take longer to realize than expected; failure to execute key personnel changes; the risks that our Realignment, the change in the nature of our operations at the Peace Naturals Campus and our further leveraging of our strategic partnerships will not result in the expected cost-savings, efficiencies and other benefits or will result in greater than anticipated turnover in personnel; lower levels of revenues; the lack of consumer demand for our products; our inability to reduce expenses at the level needed to meet our projected net change in cash and cash equivalents; our inability to manage disruptions in credit markets; unanticipated future levels of capital, environmental or maintenance expenditures, general and administrative and other expenses; growth opportunities not turning out as expected; the lack of cash flow necessary to execute our business plan (either within the expected timeframe or at all); difficulty raising capital; the potential adverse effects of judicial, regulatory or other proceedings, or threatened litigation or proceedings, on our business, financial condition, results of operations and cash flows; volatility in and/or degradation of general economic, market, industry or business conditions; compliance with applicable environmental, economic, health and safety, energy and other policies and regulations and in particular health concerns with respect to vaping and the use of cannabis and U.S. hemp products in vaping devices; the unexpected effects of actions of third parties such as competitors, activist investors or federal (including U.S. federal), state, provincial, territorial or local regulatory authorities or self-regulatory organizations; adverse changes in regulatory requirements in relation to our business and products; legal or regulatory obstacles that could prevent us from being able to exercise the PharmaCann Option and thereby realize the anticipated benefits of the transaction with PharmaCann; dilution of our fully diluted ownership of PharmaCann and the loss of our rights as a result of that dilution; our failure to improve our internal control environment and our systems, processes and procedures; and the factors discussed under Part I, Item 1A “Risk Factors” of the Annual Report and under Part II, Item 1A “Risk Factors” in our Quarterly Reports. Readers are cautioned to consider these and other factors, uncertainties and potential events carefully and not to put undue reliance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998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are made as of the date they are made and are based on the beliefs, estimates, expectations and opinions of management on that date. We undertake no obligation to update or revise any Forward-Looking Statements, whether as a result of new information, estimates or opinions, future events or results or otherwise or to explain any material difference between subsequent actual events and such Forward-Looking Statements. The Forward-Looking Statements contained in this Quarterly Report and other reports we file with, or furnish to, the SEC and other regulatory agencies and made by our directors, officers, other employees and other persons authorized to speak on our behalf are expressly qualified in their entirety by these cautionary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currency amounts in this Quarterly Report are stated in U.S. dollars, which is our reporting currency, unless otherwise noted. All references to “dollars” or “$” are to U.S. dollars. The assets and liabilities of our foreign operations are translated into dollars at the exchange rate in effect as of March 31, 2024, March 31, 2023, and December 31, 2023. Transactions affecting the shareholders’ equity (deficit) are translated at historical foreign exchange rates. The condensed consolidated statements of net loss and comprehensive loss and condensed consolidated statements of cash flows of our foreign operations are translated into dollars by applying the average foreign exchange rate in effect for the reporting period as reported on Bloomberg.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rates used to translate from Canadian dollars (“C$”) to dollars is shown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C$ per $)</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20" w:type="dxa"/>
            <w:vAlign w:val="bottom"/>
          </w:tcPr>
          <w:p>
            <w:pPr>
              <w:spacing w:after="0"/>
              <w:rPr>
                <w:sz w:val="16"/>
                <w:szCs w:val="16"/>
                <w:color w:val="auto"/>
              </w:rPr>
            </w:pPr>
          </w:p>
        </w:tc>
      </w:tr>
      <w:tr>
        <w:trPr>
          <w:trHeight w:val="24"/>
        </w:trPr>
        <w:tc>
          <w:tcPr>
            <w:tcW w:w="592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6"/>
        </w:trPr>
        <w:tc>
          <w:tcPr>
            <w:tcW w:w="5920" w:type="dxa"/>
            <w:vAlign w:val="bottom"/>
          </w:tcPr>
          <w:p>
            <w:pPr>
              <w:spacing w:after="0"/>
              <w:rPr>
                <w:sz w:val="16"/>
                <w:szCs w:val="16"/>
                <w:color w:val="auto"/>
              </w:rPr>
            </w:pPr>
          </w:p>
        </w:tc>
        <w:tc>
          <w:tcPr>
            <w:tcW w:w="18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2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5"/>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2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2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r>
      <w:tr>
        <w:trPr>
          <w:trHeight w:val="231"/>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average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rates used to translate from New Israeli Shekels (“ILS”) to dollars is shown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ILS per $)</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20" w:type="dxa"/>
            <w:vAlign w:val="bottom"/>
          </w:tcPr>
          <w:p>
            <w:pPr>
              <w:spacing w:after="0"/>
              <w:rPr>
                <w:sz w:val="16"/>
                <w:szCs w:val="16"/>
                <w:color w:val="auto"/>
              </w:rPr>
            </w:pPr>
          </w:p>
        </w:tc>
      </w:tr>
      <w:tr>
        <w:trPr>
          <w:trHeight w:val="24"/>
        </w:trPr>
        <w:tc>
          <w:tcPr>
            <w:tcW w:w="592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6"/>
        </w:trPr>
        <w:tc>
          <w:tcPr>
            <w:tcW w:w="5920" w:type="dxa"/>
            <w:vAlign w:val="bottom"/>
          </w:tcPr>
          <w:p>
            <w:pPr>
              <w:spacing w:after="0"/>
              <w:rPr>
                <w:sz w:val="16"/>
                <w:szCs w:val="16"/>
                <w:color w:val="auto"/>
              </w:rPr>
            </w:pPr>
          </w:p>
        </w:tc>
        <w:tc>
          <w:tcPr>
            <w:tcW w:w="18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2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5"/>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3.6887</w:t>
            </w:r>
          </w:p>
        </w:tc>
        <w:tc>
          <w:tcPr>
            <w:tcW w:w="2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3.5966</w:t>
            </w:r>
          </w:p>
        </w:tc>
        <w:tc>
          <w:tcPr>
            <w:tcW w:w="2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3.6163</w:t>
            </w:r>
          </w:p>
        </w:tc>
      </w:tr>
      <w:tr>
        <w:trPr>
          <w:trHeight w:val="231"/>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average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3.6617</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PEACE NATURALS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seeks to create value for shareholders by focusing on four core strategic priorities:</w:t>
      </w:r>
    </w:p>
    <w:p>
      <w:pPr>
        <w:spacing w:after="0" w:line="58"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 portfolio of iconic brands that responsibly elevate the consumer experience;</w:t>
      </w:r>
    </w:p>
    <w:p>
      <w:pPr>
        <w:spacing w:after="0" w:line="5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diversified global sales and distribution network;</w:t>
      </w:r>
    </w:p>
    <w:p>
      <w:pPr>
        <w:spacing w:after="0" w:line="5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efficient global supply chain; and</w:t>
      </w:r>
    </w:p>
    <w:p>
      <w:pPr>
        <w:spacing w:after="0" w:line="5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and monetizing disruptive intellectual property.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998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the second quarter of 2023, Cronos exited its U.S. hemp-derived cannabinoid product operations. The exit of the U.S. operations represented a strategic shift that has a major effect on Cronos’ operations and financial results, and as such, qualifies for reporting as discontinued operations in our condensed consolidated statements of net loss and comprehensive loss. Prior period amounts have been reclassified to reflect the discontinued operations classification of the U.S. operations. For further detail on the discontinuation of the U.S. operations, see Note 2 “Discontinued Operations” to the condensed consolidated interim financial statements under Item 1 of this Quarterly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Beginning in the second quarter of 2023, following the exit of our U.S. operations, Cronos is reporting through one consolidated segment, which includes operations in both Canada and Israel. In Canada, Cronos operates one wholly owned license holder under the Cannabis Act (Canada) (the “Cannabis Act”), Peace Naturals Project Inc. (“Peace Naturals”), which has production facilities near Stayner, Ontario. In Israel, the Company operates under the IMC-GAP, IMC-GMP and IMC-GDP certifications required for the cultivation, production and marketing of dried flower, pre-rolls and oils in the Israeli medical market.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Middle East Conflict</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Cronos continues to monitor the Middle East Conflict and potential impacts the Middle East Conflict could have on the Company’s personnel and business in Israel and the recorded amounts of assets and liabilities related to the Company’s operations in Israel. The extent to which the Middle East Conflict may impact the Company’s personnel, business and activities will depend on future developments which remain highly uncertain and cannot be predicted. It is possible that the recorded amounts of assets and liabilities related to the Company’s operations in Israel could change materially in the near term.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and Product Portfolio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the first quarter of 2024, the Company expanded its brand and product portfolio in Canada with the following select new products:</w:t>
      </w:r>
    </w:p>
    <w:p>
      <w:pPr>
        <w:spacing w:after="0" w:line="90"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2"/>
          <w:szCs w:val="22"/>
          <w:color w:val="212529"/>
          <w:vertAlign w:val="superscript"/>
        </w:rPr>
        <w:t>®</w:t>
      </w:r>
      <w:r>
        <w:rPr>
          <w:rFonts w:ascii="Times New Roman" w:cs="Times New Roman" w:eastAsia="Times New Roman" w:hAnsi="Times New Roman"/>
          <w:sz w:val="18"/>
          <w:szCs w:val="18"/>
          <w:color w:val="auto"/>
        </w:rPr>
        <w:t xml:space="preserve"> Live Resin vapes, offered in both all-in-one and 510 thread formats, offering flavorful full spectrum 100% pure live resin</w:t>
      </w:r>
    </w:p>
    <w:p>
      <w:pPr>
        <w:ind w:left="640" w:right="320" w:hanging="316"/>
        <w:spacing w:after="0" w:line="220" w:lineRule="auto"/>
        <w:tabs>
          <w:tab w:leader="none" w:pos="63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2"/>
          <w:szCs w:val="22"/>
          <w:color w:val="212529"/>
          <w:vertAlign w:val="superscript"/>
        </w:rPr>
        <w:t>®</w:t>
      </w:r>
      <w:r>
        <w:rPr>
          <w:rFonts w:ascii="Times New Roman" w:cs="Times New Roman" w:eastAsia="Times New Roman" w:hAnsi="Times New Roman"/>
          <w:sz w:val="18"/>
          <w:szCs w:val="18"/>
          <w:color w:val="auto"/>
        </w:rPr>
        <w:t xml:space="preserve"> Chocolate Fusions edibles, a multi-dimensional cannabis experience with three layers of creamy chocolate, crunchy inclusions and a chewy core</w:t>
      </w:r>
    </w:p>
    <w:p>
      <w:pPr>
        <w:spacing w:after="0" w:line="1" w:lineRule="exact"/>
        <w:rPr>
          <w:rFonts w:ascii="Times New Roman" w:cs="Times New Roman" w:eastAsia="Times New Roman" w:hAnsi="Times New Roman"/>
          <w:sz w:val="18"/>
          <w:szCs w:val="18"/>
          <w:b w:val="1"/>
          <w:bCs w:val="1"/>
          <w:i w:val="1"/>
          <w:iCs w:val="1"/>
          <w:color w:val="auto"/>
        </w:rPr>
      </w:pPr>
    </w:p>
    <w:p>
      <w:pPr>
        <w:ind w:left="640" w:hanging="316"/>
        <w:spacing w:after="0" w:line="201" w:lineRule="auto"/>
        <w:tabs>
          <w:tab w:leader="none" w:pos="6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Spinach</w:t>
      </w:r>
      <w:r>
        <w:rPr>
          <w:rFonts w:ascii="Times New Roman" w:cs="Times New Roman" w:eastAsia="Times New Roman" w:hAnsi="Times New Roman"/>
          <w:sz w:val="22"/>
          <w:szCs w:val="22"/>
          <w:color w:val="212529"/>
          <w:vertAlign w:val="superscript"/>
        </w:rPr>
        <w:t>®</w:t>
      </w:r>
      <w:r>
        <w:rPr>
          <w:rFonts w:ascii="Times New Roman" w:cs="Times New Roman" w:eastAsia="Times New Roman" w:hAnsi="Times New Roman"/>
          <w:sz w:val="18"/>
          <w:szCs w:val="18"/>
          <w:color w:val="auto"/>
        </w:rPr>
        <w:t xml:space="preserve"> Fully Charged Party Pack infused pre-rolls infused with cold-filtered cannabis extract and coated in kief</w:t>
      </w:r>
    </w:p>
    <w:p>
      <w:pPr>
        <w:ind w:left="640" w:hanging="316"/>
        <w:spacing w:after="0" w:line="201" w:lineRule="auto"/>
        <w:tabs>
          <w:tab w:leader="none" w:pos="6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Spinach</w:t>
      </w:r>
      <w:r>
        <w:rPr>
          <w:rFonts w:ascii="Times New Roman" w:cs="Times New Roman" w:eastAsia="Times New Roman" w:hAnsi="Times New Roman"/>
          <w:sz w:val="22"/>
          <w:szCs w:val="22"/>
          <w:color w:val="212529"/>
          <w:vertAlign w:val="superscript"/>
        </w:rPr>
        <w:t>®</w:t>
      </w:r>
      <w:r>
        <w:rPr>
          <w:rFonts w:ascii="Times New Roman" w:cs="Times New Roman" w:eastAsia="Times New Roman" w:hAnsi="Times New Roman"/>
          <w:sz w:val="18"/>
          <w:szCs w:val="18"/>
          <w:color w:val="auto"/>
        </w:rPr>
        <w:t xml:space="preserve"> Stix pre-rolls, Cronos’ new cylindrical style pre-roll, offered in a 10-pack</w:t>
      </w:r>
    </w:p>
    <w:p>
      <w:pPr>
        <w:ind w:left="640" w:hanging="316"/>
        <w:spacing w:after="0" w:line="201" w:lineRule="auto"/>
        <w:tabs>
          <w:tab w:leader="none" w:pos="6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Spinach</w:t>
      </w:r>
      <w:r>
        <w:rPr>
          <w:rFonts w:ascii="Times New Roman" w:cs="Times New Roman" w:eastAsia="Times New Roman" w:hAnsi="Times New Roman"/>
          <w:sz w:val="22"/>
          <w:szCs w:val="22"/>
          <w:color w:val="212529"/>
          <w:vertAlign w:val="superscript"/>
        </w:rPr>
        <w:t>®</w:t>
      </w:r>
      <w:r>
        <w:rPr>
          <w:rFonts w:ascii="Times New Roman" w:cs="Times New Roman" w:eastAsia="Times New Roman" w:hAnsi="Times New Roman"/>
          <w:sz w:val="18"/>
          <w:szCs w:val="18"/>
          <w:color w:val="auto"/>
        </w:rPr>
        <w:t xml:space="preserve"> all-in-one disposable vapes, Spinach Hitz, which offer convenience and sampling ease</w:t>
      </w:r>
    </w:p>
    <w:p>
      <w:pPr>
        <w:ind w:left="640" w:hanging="316"/>
        <w:spacing w:after="0" w:line="201" w:lineRule="auto"/>
        <w:tabs>
          <w:tab w:leader="none" w:pos="6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Spinach</w:t>
      </w:r>
      <w:r>
        <w:rPr>
          <w:rFonts w:ascii="Times New Roman" w:cs="Times New Roman" w:eastAsia="Times New Roman" w:hAnsi="Times New Roman"/>
          <w:sz w:val="22"/>
          <w:szCs w:val="22"/>
          <w:color w:val="212529"/>
          <w:vertAlign w:val="superscript"/>
        </w:rPr>
        <w:t>®</w:t>
      </w:r>
      <w:r>
        <w:rPr>
          <w:rFonts w:ascii="Times New Roman" w:cs="Times New Roman" w:eastAsia="Times New Roman" w:hAnsi="Times New Roman"/>
          <w:sz w:val="18"/>
          <w:szCs w:val="18"/>
          <w:color w:val="auto"/>
        </w:rPr>
        <w:t xml:space="preserve"> Atomic Sour Grapefruit 28g flower</w:t>
      </w:r>
    </w:p>
    <w:p>
      <w:pPr>
        <w:ind w:left="640" w:right="200" w:hanging="316"/>
        <w:spacing w:after="0" w:line="220" w:lineRule="auto"/>
        <w:tabs>
          <w:tab w:leader="none" w:pos="63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SOURZ by Spinach</w:t>
      </w:r>
      <w:r>
        <w:rPr>
          <w:rFonts w:ascii="Times New Roman" w:cs="Times New Roman" w:eastAsia="Times New Roman" w:hAnsi="Times New Roman"/>
          <w:sz w:val="22"/>
          <w:szCs w:val="22"/>
          <w:color w:val="212529"/>
          <w:vertAlign w:val="superscript"/>
        </w:rPr>
        <w:t>®</w:t>
      </w:r>
      <w:r>
        <w:rPr>
          <w:rFonts w:ascii="Times New Roman" w:cs="Times New Roman" w:eastAsia="Times New Roman" w:hAnsi="Times New Roman"/>
          <w:sz w:val="18"/>
          <w:szCs w:val="18"/>
          <w:color w:val="auto"/>
        </w:rPr>
        <w:t xml:space="preserve"> Fully Blasted edibles, featuring 10mg of THC in one piece, launched in three flavors, Cherry Lime, Pink Lemonade and Blue Raspberry Watermelon</w:t>
      </w:r>
    </w:p>
    <w:p>
      <w:pPr>
        <w:spacing w:after="0" w:line="20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In May, Cronos entered the UK, with its first shipment of cannabis flower under the PEACE NATURALS</w:t>
      </w:r>
      <w:r>
        <w:rPr>
          <w:rFonts w:ascii="Times New Roman" w:cs="Times New Roman" w:eastAsia="Times New Roman" w:hAnsi="Times New Roman"/>
          <w:sz w:val="22"/>
          <w:szCs w:val="22"/>
          <w:color w:val="212529"/>
          <w:vertAlign w:val="superscript"/>
        </w:rPr>
        <w:t>®</w:t>
      </w:r>
      <w:r>
        <w:rPr>
          <w:rFonts w:ascii="Times New Roman" w:cs="Times New Roman" w:eastAsia="Times New Roman" w:hAnsi="Times New Roman"/>
          <w:sz w:val="18"/>
          <w:szCs w:val="18"/>
          <w:color w:val="auto"/>
        </w:rPr>
        <w:t xml:space="preserve"> medical brand. The Company has partnered with GROW</w:t>
      </w:r>
      <w:r>
        <w:rPr>
          <w:rFonts w:ascii="Times New Roman" w:cs="Times New Roman" w:eastAsia="Times New Roman" w:hAnsi="Times New Roman"/>
          <w:sz w:val="22"/>
          <w:szCs w:val="22"/>
          <w:color w:val="212529"/>
          <w:vertAlign w:val="superscript"/>
        </w:rPr>
        <w:t>®</w:t>
      </w:r>
      <w:r>
        <w:rPr>
          <w:rFonts w:ascii="Times New Roman" w:cs="Times New Roman" w:eastAsia="Times New Roman" w:hAnsi="Times New Roman"/>
          <w:sz w:val="18"/>
          <w:szCs w:val="18"/>
          <w:color w:val="auto"/>
        </w:rPr>
        <w:t xml:space="preserve"> Pharma, a leading distributor of prescribed cannabis medicinal products in Europe and the UK. </w:t>
      </w:r>
      <w:r>
        <w:rPr>
          <w:rFonts w:ascii="Times New Roman" w:cs="Times New Roman" w:eastAsia="Times New Roman" w:hAnsi="Times New Roman"/>
          <w:sz w:val="18"/>
          <w:szCs w:val="18"/>
          <w:color w:val="212529"/>
        </w:rPr>
        <w:t>Cronos expects to provide cannabis products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patients in the UK through its partnership with GROW</w:t>
      </w:r>
      <w:r>
        <w:rPr>
          <w:rFonts w:ascii="Times New Roman" w:cs="Times New Roman" w:eastAsia="Times New Roman" w:hAnsi="Times New Roman"/>
          <w:sz w:val="22"/>
          <w:szCs w:val="22"/>
          <w:color w:val="212529"/>
          <w:vertAlign w:val="superscript"/>
        </w:rPr>
        <w:t>®</w:t>
      </w:r>
      <w:r>
        <w:rPr>
          <w:rFonts w:ascii="Times New Roman" w:cs="Times New Roman" w:eastAsia="Times New Roman" w:hAnsi="Times New Roman"/>
          <w:sz w:val="18"/>
          <w:szCs w:val="18"/>
          <w:color w:val="212529"/>
        </w:rPr>
        <w:t xml:space="preserve"> Pharma.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Appointments</w:t>
      </w:r>
    </w:p>
    <w:p>
      <w:pPr>
        <w:spacing w:after="0" w:line="1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 2024, Adam Wagner was appointed Senior Vice President, Head of Cronos Israel. Mr. Wagner will oversee the business and strategy of Cronos Israel. Before becoming Head of Cronos Israel, he was the Vice President of Finance at Cronos Israel managing Cronos Israel finance department. Before joining Cronos, Adam worked as a Director of Finance at Motus GI, a publicly traded medical device company, where he oversaw the Israel-based finance department. Prior to Motus GI, Adam was a Finance Manager at Medtronic, a publicly traded medical equipment manufacturer, where he oversaw the Israel-based finance department. Prior to Medtronic’s acquisitions, Adam was the Corporate Controller for Mazor Robotics, a dual listed public medical device company. Adam began his career as a Senior Auditor at EY managing a team that performed audits for various publicly traded and private companies. Adam is a Certified Public Accountant (Israel).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1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The tables below set forth our condensed consolidated results of operations, expressed in thousands of U.S. dollars for the periods presented. Our condensed consolidated financial results for these periods are not necessarily indicative of the consolidated financial results that we will achieve in future periods.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8"/>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6"/>
        </w:trPr>
        <w:tc>
          <w:tcPr>
            <w:tcW w:w="65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before excise taxes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35,367</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26,554</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Excise taxes</w:t>
            </w: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(10,079)</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25,288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19,495</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20,805</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16,568</w:t>
            </w:r>
          </w:p>
        </w:tc>
        <w:tc>
          <w:tcPr>
            <w:tcW w:w="0" w:type="dxa"/>
            <w:vAlign w:val="bottom"/>
          </w:tcPr>
          <w:p>
            <w:pPr>
              <w:spacing w:after="0"/>
              <w:rPr>
                <w:sz w:val="1"/>
                <w:szCs w:val="1"/>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25"/>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5,332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5,741</w:t>
            </w:r>
          </w:p>
        </w:tc>
        <w:tc>
          <w:tcPr>
            <w:tcW w:w="0" w:type="dxa"/>
            <w:vAlign w:val="bottom"/>
          </w:tcPr>
          <w:p>
            <w:pPr>
              <w:spacing w:after="0"/>
              <w:rPr>
                <w:sz w:val="1"/>
                <w:szCs w:val="1"/>
                <w:color w:val="auto"/>
              </w:rPr>
            </w:pPr>
          </w:p>
        </w:tc>
      </w:tr>
      <w:tr>
        <w:trPr>
          <w:trHeight w:val="225"/>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8,907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11,856</w:t>
            </w:r>
          </w:p>
        </w:tc>
        <w:tc>
          <w:tcPr>
            <w:tcW w:w="0" w:type="dxa"/>
            <w:vAlign w:val="bottom"/>
          </w:tcPr>
          <w:p>
            <w:pPr>
              <w:spacing w:after="0"/>
              <w:rPr>
                <w:sz w:val="1"/>
                <w:szCs w:val="1"/>
                <w:color w:val="auto"/>
              </w:rPr>
            </w:pPr>
          </w:p>
        </w:tc>
      </w:tr>
      <w:tr>
        <w:trPr>
          <w:trHeight w:val="225"/>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25"/>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20,431</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23,696</w:t>
            </w:r>
          </w:p>
        </w:tc>
        <w:tc>
          <w:tcPr>
            <w:tcW w:w="0" w:type="dxa"/>
            <w:vAlign w:val="bottom"/>
          </w:tcPr>
          <w:p>
            <w:pPr>
              <w:spacing w:after="0"/>
              <w:rPr>
                <w:sz w:val="1"/>
                <w:szCs w:val="1"/>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(15,948)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(20,769)</w:t>
            </w:r>
          </w:p>
        </w:tc>
        <w:tc>
          <w:tcPr>
            <w:tcW w:w="0" w:type="dxa"/>
            <w:vAlign w:val="bottom"/>
          </w:tcPr>
          <w:p>
            <w:pPr>
              <w:spacing w:after="0"/>
              <w:rPr>
                <w:sz w:val="1"/>
                <w:szCs w:val="1"/>
                <w:color w:val="auto"/>
              </w:rPr>
            </w:pPr>
          </w:p>
        </w:tc>
      </w:tr>
      <w:tr>
        <w:trPr>
          <w:trHeight w:val="225"/>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12,906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25"/>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18"/>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(19,257)</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Cronos Group</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(19,169)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select financial results</w:t>
            </w: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USD)</w:t>
            </w: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5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25,288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19,495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20,805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16,568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4,483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r>
              <w:rPr>
                <w:rFonts w:ascii="Times New Roman" w:cs="Times New Roman" w:eastAsia="Times New Roman" w:hAnsi="Times New Roman"/>
                <w:sz w:val="22"/>
                <w:szCs w:val="22"/>
                <w:color w:val="auto"/>
                <w:vertAlign w:val="superscript"/>
              </w:rPr>
              <w:t>(i)</w:t>
            </w:r>
          </w:p>
        </w:tc>
        <w:tc>
          <w:tcPr>
            <w:tcW w:w="24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18 %</w:t>
            </w:r>
          </w:p>
        </w:tc>
        <w:tc>
          <w:tcPr>
            <w:tcW w:w="12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15 %</w:t>
            </w:r>
          </w:p>
        </w:tc>
        <w:tc>
          <w:tcPr>
            <w:tcW w:w="1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3 pp</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9"/>
                <w:szCs w:val="9"/>
                <w:color w:val="auto"/>
              </w:rPr>
              <w:t>(i)</w:t>
            </w:r>
          </w:p>
        </w:tc>
        <w:tc>
          <w:tcPr>
            <w:tcW w:w="5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Gross margin is defined as gross profit divided by net revenue.</w:t>
            </w:r>
          </w:p>
        </w:tc>
        <w:tc>
          <w:tcPr>
            <w:tcW w:w="24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33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2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we reported consolidated net revenue of $25.3 million, representing an increase of $5.8 million from the three months ended March 31, 2023. The increase was primarily due to higher cannabis flower and extract sales in the Canadian adult-use market and higher cannabis flower sales in Israel, partially offset by an adverse price/mix in the Canadian cannabis flower category driving increased excise tax payments as a percentage of revenue.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2024, we reported consolidated cost of sales of $20.8 million, representing an increase of $4.2 million from the three months ended March 31, 2023. The increase was primarily due to higher cannabis flower and extract sales in the Canadian adult-use market and higher cannabis flower sales in Israel, partially offset by favorable labor, overhead and inventory variances.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we reported gross profit of $4.5 million, representing an increase of $1.6 million from the three months ended March 31, 2023. The increase was primarily due to higher cannabis flower and extract sales in the Canadian adult-use market, higher cannabis flower sales in Israel and favorable labor, overhead and inventory variances, partially offset by an adverse price/mix in the Canadian cannabis flower category driving increased excise tax payments as a percentage of revenue.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21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5,741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11,856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payments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2,535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8"/>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20,431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23,696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2024, sales and marketing expenses were $5.3 million, representing a decrease of $0.4 million compared to the three months ended March 31, 2023. The decrease was primarily due to lower advertising and marketing spend.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2024, research and development expenses were $1.0 million, representing a decrease of $1.0 million from the three months ended March 31, 2023. The decrease was primarily due to lower costs associated with the collaboration and license agreement between Ginkgo Bioworks Holdings, Inc. (“Ginkgo”) and the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2024, general and administrative expenses were $8.9 million, representing a decrease of $2.9 million from the three months ended March 31, 2023. The decrease was primarily due to lower professional fees, largely related to financial statement review costs, and lower bonus, payroll and insurance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2024, restructuring costs were $0.1 million, compared to zero for the three months ended March 31, 2023. For further information, see Note 6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the condensed consolidated interim financial statements under Item 1 of this Quarterly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2024, share-based compensation expense was $2.0 million, representing a decrease of $0.5 million from the three months ended March 31, 2023. The decrease was primarily due to headcount reductions that occurred in the prior year.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2024, depreciation and amortization expenses were $1.1 million, representing a decrease of $0.4 million from the three months ended March 31, 2023. The decrease was primarily due to lower amortization on Ginkgo-related intangible assets and lower depreciation on property, plant and equipment.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on long-lived assets</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2024, impairment loss on long-lived assets was $2.0 million and was primarily due to the cessation of operations at Cronos Fermentation during Q1 2024. There was no such impairment loss on long-lived assets for the three months ended March 31, 2023. For further information, see Note 6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the condensed consolidated interim financial statements under Item 1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Table of Contents</w:t>
            </w:r>
          </w:p>
        </w:tc>
      </w:tr>
      <w:tr>
        <w:trPr>
          <w:trHeight w:val="763"/>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income tax benefit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6"/>
        </w:trPr>
        <w:tc>
          <w:tcPr>
            <w:tcW w:w="6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24"/>
                <w:szCs w:val="24"/>
                <w:color w:val="auto"/>
              </w:rPr>
            </w:pPr>
          </w:p>
        </w:tc>
        <w:tc>
          <w:tcPr>
            <w:tcW w:w="200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6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r>
      <w:tr>
        <w:trPr>
          <w:trHeight w:val="186"/>
        </w:trPr>
        <w:tc>
          <w:tcPr>
            <w:tcW w:w="6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5"/>
        </w:trPr>
        <w:tc>
          <w:tcPr>
            <w:tcW w:w="67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14,245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5"/>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revaluation of derivative liabilities</w:t>
            </w:r>
          </w:p>
        </w:tc>
        <w:tc>
          <w:tcPr>
            <w:tcW w:w="1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5"/>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of income (loss) from equity method investments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revaluation of financial instruments</w:t>
            </w:r>
          </w:p>
        </w:tc>
        <w:tc>
          <w:tcPr>
            <w:tcW w:w="1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5"/>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loss on other investments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1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18"/>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12,906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894 %</w:t>
            </w:r>
          </w:p>
        </w:tc>
      </w:tr>
      <w:tr>
        <w:trPr>
          <w:trHeight w:val="225"/>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8"/>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(18,035)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5"/>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1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(19,257)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40" w:hanging="634"/>
        <w:spacing w:after="0"/>
        <w:tabs>
          <w:tab w:leader="none" w:pos="64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“N/M” is defined as not meaningful.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2024, interest income, net was $14.2 million, representing an increase of $3.1 million from the three months ended March 31, 2023. The increase in net interest income was primarily due to higher interest rates in the current period compared to the three months ended March 31,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revaluation of derivative liabilities</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2024, the loss on revaluation of derivative liabilities was $18 thousand, representing a decreased loss of $47 thousand from the three months ended March 31, 2023. We expect continued changes in derivative valuations as our share price fluctuates period to period and the remaining expected terms of our derivative instruments change over time.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of income (loss) from equity method investments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our share of income from equity method investments was $1.4 million, representing an increase of $1.9 million from the three months ended March 31, 2023. The increase was due to higher income pick-ups from our equity method investment in Cronos GrowCo. Periodic income and loss pickups from our equity method investment in Cronos GrowCo are impacted both by the profitability of Cronos GrowCo and any unsold inventory remaining at Cronos that originated from Cronos GrowCo.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revaluation of financial instruments</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For the three months ended March 31, 2024, the loss on revaluation of financial instruments was $2.6 million, representing an improvement of $5.1 million from the three months ended March 31, 2023. The change was primarily related to the change in fair value of our investment in Vitura Health Limited (“Vitura”). For further information, see Note 4 “</w:t>
      </w:r>
      <w:r>
        <w:rPr>
          <w:rFonts w:ascii="Times New Roman" w:cs="Times New Roman" w:eastAsia="Times New Roman" w:hAnsi="Times New Roman"/>
          <w:sz w:val="17"/>
          <w:szCs w:val="17"/>
          <w:i w:val="1"/>
          <w:iCs w:val="1"/>
          <w:color w:val="auto"/>
        </w:rPr>
        <w:t>Investments</w:t>
      </w:r>
      <w:r>
        <w:rPr>
          <w:rFonts w:ascii="Times New Roman" w:cs="Times New Roman" w:eastAsia="Times New Roman" w:hAnsi="Times New Roman"/>
          <w:sz w:val="17"/>
          <w:szCs w:val="17"/>
          <w:color w:val="auto"/>
        </w:rPr>
        <w:t>” to the condensed consolidated interim financial statements under Item 1 of this Quarterly Report.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on other investments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we recognized $12.7 million of impairment loss on other investments, driven by an impairment charge recorded on our PharmaCann Option for the difference between its estimated fair value and its carrying amount. There was no such impairment loss on other investments for the three months ended March 31, 2023. For further information, see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to the condensed consolidated interim financial statements under Item 1 of this Quarterly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gain (loss)</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2024, foreign currency translation gain was $13.3 million, representing an improvement of $14.9 million from the three months ended March 31, 2023. The change was primarily due to certain foreign currency-denominated cash equivalents and certain foreign currency-denominated intercompany loans anticipated to be settled in the foreseeable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net primarily includes gains and losses on the disposal of assets.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00"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For the three months ended March 31, 2024, income tax benefit was $0.6 million, compared to $1.4 million for the three months ended March 31, 2023. The decreased benefit was driven by lower current income tax benefits recorded on the losses that will be carried back to recover taxes paid in prior years.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There was no activity in discontinued operations for the three months ended March 31, 2024. For the three months ended March 31, 2023, loss from discontinued operations was due to the exit of U.S. operations. For more information, see Note 2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our condensed consolidated interim financial statements under Item 1 of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Cronos Group reports its financial results in accordance with Generally Accepted Accounting Principles in the United States (“U.S. GAAP”). This Quarterly Report refers to measures not recognized under U.S. GAAP (“non-GAAP measures”). These non-GAAP measures do not have a standardized meaning prescribed by U.S. GAAP and are therefore unlikely to be comparable to similar measures presented by other companies. Rather, these non-GAAP measures are provided as a supplement to corresponding U.S. GAAP measures to provide additional information regarding the results of operations from management’s perspective. Accordingly, non-GAAP measures should not be considered a substitute for, or superior to, the financial information prepared and presented in accordance with U.S. GAAP. All non-GAAP measures presented in this Quarterly Report are reconciled to their closest reported U.S. GAAP measure. Reconciliations of historical adjusted financial measures to corresponding U.S. GAAP measures are provided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Management reviews Adjusted EBITDA, a non-GAAP measure, which excludes non-cash items and items that do not reflect management’s assessment of ongoing business performance. Management defines Adjusted EBITDA as net income (loss) before interest, tax expense (benefit), depreciation and amortization adjusted for: share of (income) loss from equity method investments; impairment loss on goodwill and intangible assets; impairment loss on long-lived assets; (gain) loss on revaluation of derivative liabilities; (gain) loss on revaluation of financial instruments; transaction costs related to strategic projects; impairment loss on other investments; foreign currency transaction loss; other, net; loss from discontinued operations; restructuring costs; inventory write-downs resulting from restructuring actions; share-based compensation; and financial statement review costs and reserves related to the restatements of our 2019 and 2021 interim financial statements (the “Restatements”), including the costs related to the settlement of the SEC’s and the Ontario Securities Commission’s (“OSC”) investigations of the Restatements and legal costs defending shareholder class action complaints brought against us as a result of the 2019 restatement (see Part II, Item 1 “Legal Proceedings” of this Quarterly Report for a discussion of the shareholder class action complaints relating to the restatement of the 2019 interim financial statements and the settlement of the SEC’s and the OSC’s investigations of the Restatements). Results are reported as total consolidated results, reflecting our reporting structure of one reportable segment.</w:t>
      </w:r>
    </w:p>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Management believes that Adjusted EBITDA provides the most useful insight into underlying business trends and results and provides a more meaningful comparison of period-over-period results. Management uses Adjusted EBITDA for planning, forecasting and evaluating business and financial performance, including allocating resources and evaluating results relative to employee compensation targets.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w w:val="97"/>
              </w:rPr>
              <w:t>Table of Contents</w:t>
            </w:r>
          </w:p>
        </w:tc>
      </w:tr>
      <w:tr>
        <w:trPr>
          <w:trHeight w:val="65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is reconciled to net income (loss) as follows:</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3"/>
        </w:trPr>
        <w:tc>
          <w:tcPr>
            <w:tcW w:w="6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80" w:type="dxa"/>
            <w:vAlign w:val="bottom"/>
            <w:gridSpan w:val="6"/>
          </w:tcPr>
          <w:p>
            <w:pPr>
              <w:jc w:val="center"/>
              <w:ind w:left="1154"/>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76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76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r>
      <w:tr>
        <w:trPr>
          <w:trHeight w:val="225"/>
        </w:trPr>
        <w:tc>
          <w:tcPr>
            <w:tcW w:w="60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20" w:type="dxa"/>
            <w:vAlign w:val="bottom"/>
          </w:tcPr>
          <w:p>
            <w:pPr>
              <w:spacing w:after="0"/>
              <w:rPr>
                <w:sz w:val="19"/>
                <w:szCs w:val="19"/>
                <w:color w:val="auto"/>
              </w:rPr>
            </w:pPr>
          </w:p>
        </w:tc>
      </w:tr>
      <w:tr>
        <w:trPr>
          <w:trHeight w:val="225"/>
        </w:trPr>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20" w:type="dxa"/>
            <w:vAlign w:val="bottom"/>
          </w:tcPr>
          <w:p>
            <w:pPr>
              <w:spacing w:after="0"/>
              <w:rPr>
                <w:sz w:val="19"/>
                <w:szCs w:val="19"/>
                <w:color w:val="auto"/>
              </w:rPr>
            </w:pPr>
          </w:p>
        </w:tc>
      </w:tr>
      <w:tr>
        <w:trPr>
          <w:trHeight w:val="225"/>
        </w:trPr>
        <w:tc>
          <w:tcPr>
            <w:tcW w:w="6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9"/>
                <w:szCs w:val="19"/>
                <w:color w:val="auto"/>
              </w:rPr>
            </w:pPr>
          </w:p>
        </w:tc>
      </w:tr>
      <w:tr>
        <w:trPr>
          <w:trHeight w:val="225"/>
        </w:trPr>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0" w:type="dxa"/>
            <w:vAlign w:val="bottom"/>
          </w:tcPr>
          <w:p>
            <w:pPr>
              <w:spacing w:after="0"/>
              <w:rPr>
                <w:sz w:val="19"/>
                <w:szCs w:val="19"/>
                <w:color w:val="auto"/>
              </w:rPr>
            </w:pPr>
          </w:p>
        </w:tc>
      </w:tr>
      <w:tr>
        <w:trPr>
          <w:trHeight w:val="218"/>
        </w:trPr>
        <w:tc>
          <w:tcPr>
            <w:tcW w:w="60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20" w:type="dxa"/>
            <w:vAlign w:val="bottom"/>
          </w:tcPr>
          <w:p>
            <w:pPr>
              <w:spacing w:after="0"/>
              <w:rPr>
                <w:sz w:val="19"/>
                <w:szCs w:val="19"/>
                <w:color w:val="auto"/>
              </w:rPr>
            </w:pPr>
          </w:p>
        </w:tc>
      </w:tr>
      <w:tr>
        <w:trPr>
          <w:trHeight w:val="225"/>
        </w:trPr>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of income from equity method investments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Pr>
          <w:p>
            <w:pPr>
              <w:spacing w:after="0"/>
              <w:rPr>
                <w:sz w:val="19"/>
                <w:szCs w:val="19"/>
                <w:color w:val="auto"/>
              </w:rPr>
            </w:pPr>
          </w:p>
        </w:tc>
      </w:tr>
      <w:tr>
        <w:trPr>
          <w:trHeight w:val="225"/>
        </w:trPr>
        <w:tc>
          <w:tcPr>
            <w:tcW w:w="6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0" w:type="dxa"/>
            <w:vAlign w:val="bottom"/>
          </w:tcPr>
          <w:p>
            <w:pPr>
              <w:spacing w:after="0"/>
              <w:rPr>
                <w:sz w:val="19"/>
                <w:szCs w:val="19"/>
                <w:color w:val="auto"/>
              </w:rPr>
            </w:pPr>
          </w:p>
        </w:tc>
      </w:tr>
      <w:tr>
        <w:trPr>
          <w:trHeight w:val="225"/>
        </w:trPr>
        <w:tc>
          <w:tcPr>
            <w:tcW w:w="6040" w:type="dxa"/>
            <w:vAlign w:val="bottom"/>
          </w:tcPr>
          <w:p>
            <w:pPr>
              <w:ind w:left="320"/>
              <w:spacing w:after="0" w:line="225" w:lineRule="exact"/>
              <w:rPr>
                <w:sz w:val="20"/>
                <w:szCs w:val="20"/>
                <w:color w:val="auto"/>
              </w:rPr>
            </w:pPr>
            <w:r>
              <w:rPr>
                <w:rFonts w:ascii="Times New Roman" w:cs="Times New Roman" w:eastAsia="Times New Roman" w:hAnsi="Times New Roman"/>
                <w:sz w:val="18"/>
                <w:szCs w:val="18"/>
                <w:color w:val="auto"/>
              </w:rPr>
              <w:t>Loss on revaluation of derivative liabilities</w:t>
            </w:r>
            <w:r>
              <w:rPr>
                <w:rFonts w:ascii="Times New Roman" w:cs="Times New Roman" w:eastAsia="Times New Roman" w:hAnsi="Times New Roman"/>
                <w:sz w:val="22"/>
                <w:szCs w:val="22"/>
                <w:color w:val="auto"/>
                <w:vertAlign w:val="superscript"/>
              </w:rPr>
              <w:t>(i)</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r>
      <w:tr>
        <w:trPr>
          <w:trHeight w:val="225"/>
        </w:trPr>
        <w:tc>
          <w:tcPr>
            <w:tcW w:w="6040" w:type="dxa"/>
            <w:vAlign w:val="bottom"/>
            <w:shd w:val="clear" w:color="auto" w:fill="CCEEFF"/>
          </w:tcPr>
          <w:p>
            <w:pPr>
              <w:ind w:left="320"/>
              <w:spacing w:after="0" w:line="225" w:lineRule="exact"/>
              <w:rPr>
                <w:sz w:val="20"/>
                <w:szCs w:val="20"/>
                <w:color w:val="auto"/>
              </w:rPr>
            </w:pPr>
            <w:r>
              <w:rPr>
                <w:rFonts w:ascii="Times New Roman" w:cs="Times New Roman" w:eastAsia="Times New Roman" w:hAnsi="Times New Roman"/>
                <w:sz w:val="18"/>
                <w:szCs w:val="18"/>
                <w:color w:val="auto"/>
              </w:rPr>
              <w:t>Loss on revaluation of financial instruments</w:t>
            </w:r>
            <w:r>
              <w:rPr>
                <w:rFonts w:ascii="Times New Roman" w:cs="Times New Roman" w:eastAsia="Times New Roman" w:hAnsi="Times New Roman"/>
                <w:sz w:val="22"/>
                <w:szCs w:val="22"/>
                <w:color w:val="auto"/>
                <w:vertAlign w:val="superscript"/>
              </w:rPr>
              <w:t>(ii)</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0" w:type="dxa"/>
            <w:vAlign w:val="bottom"/>
          </w:tcPr>
          <w:p>
            <w:pPr>
              <w:spacing w:after="0"/>
              <w:rPr>
                <w:sz w:val="19"/>
                <w:szCs w:val="19"/>
                <w:color w:val="auto"/>
              </w:rPr>
            </w:pPr>
          </w:p>
        </w:tc>
      </w:tr>
      <w:tr>
        <w:trPr>
          <w:trHeight w:val="225"/>
        </w:trPr>
        <w:tc>
          <w:tcPr>
            <w:tcW w:w="6040" w:type="dxa"/>
            <w:vAlign w:val="bottom"/>
          </w:tcPr>
          <w:p>
            <w:pPr>
              <w:ind w:left="320"/>
              <w:spacing w:after="0" w:line="225" w:lineRule="exact"/>
              <w:rPr>
                <w:sz w:val="20"/>
                <w:szCs w:val="20"/>
                <w:color w:val="auto"/>
              </w:rPr>
            </w:pPr>
            <w:r>
              <w:rPr>
                <w:rFonts w:ascii="Times New Roman" w:cs="Times New Roman" w:eastAsia="Times New Roman" w:hAnsi="Times New Roman"/>
                <w:sz w:val="18"/>
                <w:szCs w:val="18"/>
                <w:color w:val="auto"/>
              </w:rPr>
              <w:t>Impairment loss on other investments</w:t>
            </w:r>
            <w:r>
              <w:rPr>
                <w:rFonts w:ascii="Times New Roman" w:cs="Times New Roman" w:eastAsia="Times New Roman" w:hAnsi="Times New Roman"/>
                <w:sz w:val="22"/>
                <w:szCs w:val="22"/>
                <w:color w:val="auto"/>
                <w:vertAlign w:val="superscript"/>
              </w:rPr>
              <w:t>(iii)</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20" w:type="dxa"/>
            <w:vAlign w:val="bottom"/>
          </w:tcPr>
          <w:p>
            <w:pPr>
              <w:spacing w:after="0"/>
              <w:rPr>
                <w:sz w:val="19"/>
                <w:szCs w:val="19"/>
                <w:color w:val="auto"/>
              </w:rPr>
            </w:pPr>
          </w:p>
        </w:tc>
      </w:tr>
      <w:tr>
        <w:trPr>
          <w:trHeight w:val="225"/>
        </w:trPr>
        <w:tc>
          <w:tcPr>
            <w:tcW w:w="6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20" w:type="dxa"/>
            <w:vAlign w:val="bottom"/>
          </w:tcPr>
          <w:p>
            <w:pPr>
              <w:spacing w:after="0"/>
              <w:rPr>
                <w:sz w:val="19"/>
                <w:szCs w:val="19"/>
                <w:color w:val="auto"/>
              </w:rPr>
            </w:pPr>
          </w:p>
        </w:tc>
      </w:tr>
      <w:tr>
        <w:trPr>
          <w:trHeight w:val="225"/>
        </w:trPr>
        <w:tc>
          <w:tcPr>
            <w:tcW w:w="6040" w:type="dxa"/>
            <w:vAlign w:val="bottom"/>
          </w:tcPr>
          <w:p>
            <w:pPr>
              <w:ind w:left="320"/>
              <w:spacing w:after="0" w:line="225"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2"/>
                <w:szCs w:val="22"/>
                <w:color w:val="auto"/>
                <w:vertAlign w:val="superscript"/>
              </w:rPr>
              <w:t>(iv)</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Pr>
          <w:p>
            <w:pPr>
              <w:spacing w:after="0"/>
              <w:rPr>
                <w:sz w:val="19"/>
                <w:szCs w:val="19"/>
                <w:color w:val="auto"/>
              </w:rPr>
            </w:pPr>
          </w:p>
        </w:tc>
      </w:tr>
      <w:tr>
        <w:trPr>
          <w:trHeight w:val="225"/>
        </w:trPr>
        <w:tc>
          <w:tcPr>
            <w:tcW w:w="6040" w:type="dxa"/>
            <w:vAlign w:val="bottom"/>
            <w:shd w:val="clear" w:color="auto" w:fill="CCEEFF"/>
          </w:tcPr>
          <w:p>
            <w:pPr>
              <w:ind w:left="320"/>
              <w:spacing w:after="0" w:line="225"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2"/>
                <w:szCs w:val="22"/>
                <w:color w:val="auto"/>
                <w:vertAlign w:val="superscript"/>
              </w:rPr>
              <w:t>(v)</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r>
      <w:tr>
        <w:trPr>
          <w:trHeight w:val="225"/>
        </w:trPr>
        <w:tc>
          <w:tcPr>
            <w:tcW w:w="6040" w:type="dxa"/>
            <w:vAlign w:val="bottom"/>
          </w:tcPr>
          <w:p>
            <w:pPr>
              <w:ind w:left="320"/>
              <w:spacing w:after="0" w:line="225"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2"/>
                <w:szCs w:val="22"/>
                <w:color w:val="auto"/>
                <w:vertAlign w:val="superscript"/>
              </w:rPr>
              <w:t>(vi)</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9"/>
                <w:szCs w:val="19"/>
                <w:color w:val="auto"/>
              </w:rPr>
            </w:pPr>
          </w:p>
        </w:tc>
      </w:tr>
      <w:tr>
        <w:trPr>
          <w:trHeight w:val="225"/>
        </w:trPr>
        <w:tc>
          <w:tcPr>
            <w:tcW w:w="6040" w:type="dxa"/>
            <w:vAlign w:val="bottom"/>
            <w:shd w:val="clear" w:color="auto" w:fill="CCEEFF"/>
          </w:tcPr>
          <w:p>
            <w:pPr>
              <w:ind w:left="320"/>
              <w:spacing w:after="0" w:line="225" w:lineRule="exact"/>
              <w:rPr>
                <w:sz w:val="20"/>
                <w:szCs w:val="20"/>
                <w:color w:val="auto"/>
              </w:rPr>
            </w:pPr>
            <w:r>
              <w:rPr>
                <w:rFonts w:ascii="Times New Roman" w:cs="Times New Roman" w:eastAsia="Times New Roman" w:hAnsi="Times New Roman"/>
                <w:sz w:val="18"/>
                <w:szCs w:val="18"/>
                <w:color w:val="auto"/>
              </w:rPr>
              <w:t>Financial statement review costs</w:t>
            </w:r>
            <w:r>
              <w:rPr>
                <w:rFonts w:ascii="Times New Roman" w:cs="Times New Roman" w:eastAsia="Times New Roman" w:hAnsi="Times New Roman"/>
                <w:sz w:val="22"/>
                <w:szCs w:val="22"/>
                <w:color w:val="auto"/>
                <w:vertAlign w:val="superscript"/>
              </w:rPr>
              <w:t>(vii)</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tcPr>
          <w:p>
            <w:pPr>
              <w:spacing w:after="0"/>
              <w:rPr>
                <w:sz w:val="19"/>
                <w:szCs w:val="19"/>
                <w:color w:val="auto"/>
              </w:rPr>
            </w:pPr>
          </w:p>
        </w:tc>
      </w:tr>
      <w:tr>
        <w:trPr>
          <w:trHeight w:val="218"/>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2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gridSpan w:val="6"/>
          </w:tcPr>
          <w:p>
            <w:pPr>
              <w:jc w:val="center"/>
              <w:ind w:left="1154"/>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76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76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r>
      <w:tr>
        <w:trPr>
          <w:trHeight w:val="225"/>
        </w:trPr>
        <w:tc>
          <w:tcPr>
            <w:tcW w:w="60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(19,257)</w:t>
            </w:r>
          </w:p>
        </w:tc>
        <w:tc>
          <w:tcPr>
            <w:tcW w:w="20" w:type="dxa"/>
            <w:vAlign w:val="bottom"/>
          </w:tcPr>
          <w:p>
            <w:pPr>
              <w:spacing w:after="0"/>
              <w:rPr>
                <w:sz w:val="19"/>
                <w:szCs w:val="19"/>
                <w:color w:val="auto"/>
              </w:rPr>
            </w:pPr>
          </w:p>
        </w:tc>
      </w:tr>
      <w:tr>
        <w:trPr>
          <w:trHeight w:val="225"/>
        </w:trPr>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20" w:type="dxa"/>
            <w:vAlign w:val="bottom"/>
          </w:tcPr>
          <w:p>
            <w:pPr>
              <w:spacing w:after="0"/>
              <w:rPr>
                <w:sz w:val="19"/>
                <w:szCs w:val="19"/>
                <w:color w:val="auto"/>
              </w:rPr>
            </w:pPr>
          </w:p>
        </w:tc>
      </w:tr>
      <w:tr>
        <w:trPr>
          <w:trHeight w:val="225"/>
        </w:trPr>
        <w:tc>
          <w:tcPr>
            <w:tcW w:w="6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0" w:type="dxa"/>
            <w:vAlign w:val="bottom"/>
          </w:tcPr>
          <w:p>
            <w:pPr>
              <w:spacing w:after="0"/>
              <w:rPr>
                <w:sz w:val="19"/>
                <w:szCs w:val="19"/>
                <w:color w:val="auto"/>
              </w:rPr>
            </w:pPr>
          </w:p>
        </w:tc>
      </w:tr>
      <w:tr>
        <w:trPr>
          <w:trHeight w:val="225"/>
        </w:trPr>
        <w:tc>
          <w:tcPr>
            <w:tcW w:w="6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0" w:type="dxa"/>
            <w:vAlign w:val="bottom"/>
          </w:tcPr>
          <w:p>
            <w:pPr>
              <w:spacing w:after="0"/>
              <w:rPr>
                <w:sz w:val="19"/>
                <w:szCs w:val="19"/>
                <w:color w:val="auto"/>
              </w:rPr>
            </w:pPr>
          </w:p>
        </w:tc>
      </w:tr>
      <w:tr>
        <w:trPr>
          <w:trHeight w:val="219"/>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20" w:type="dxa"/>
            <w:vAlign w:val="bottom"/>
          </w:tcPr>
          <w:p>
            <w:pPr>
              <w:spacing w:after="0"/>
              <w:rPr>
                <w:sz w:val="19"/>
                <w:szCs w:val="19"/>
                <w:color w:val="auto"/>
              </w:rPr>
            </w:pPr>
          </w:p>
        </w:tc>
      </w:tr>
      <w:tr>
        <w:trPr>
          <w:trHeight w:val="225"/>
        </w:trPr>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of loss from equity method investments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Pr>
          <w:p>
            <w:pPr>
              <w:spacing w:after="0"/>
              <w:rPr>
                <w:sz w:val="19"/>
                <w:szCs w:val="19"/>
                <w:color w:val="auto"/>
              </w:rPr>
            </w:pPr>
          </w:p>
        </w:tc>
      </w:tr>
      <w:tr>
        <w:trPr>
          <w:trHeight w:val="225"/>
        </w:trPr>
        <w:tc>
          <w:tcPr>
            <w:tcW w:w="6040" w:type="dxa"/>
            <w:vAlign w:val="bottom"/>
            <w:shd w:val="clear" w:color="auto" w:fill="CCEEFF"/>
          </w:tcPr>
          <w:p>
            <w:pPr>
              <w:ind w:left="320"/>
              <w:spacing w:after="0" w:line="225" w:lineRule="exact"/>
              <w:rPr>
                <w:sz w:val="20"/>
                <w:szCs w:val="20"/>
                <w:color w:val="auto"/>
              </w:rPr>
            </w:pPr>
            <w:r>
              <w:rPr>
                <w:rFonts w:ascii="Times New Roman" w:cs="Times New Roman" w:eastAsia="Times New Roman" w:hAnsi="Times New Roman"/>
                <w:sz w:val="18"/>
                <w:szCs w:val="18"/>
                <w:color w:val="auto"/>
              </w:rPr>
              <w:t>Loss on revaluation of derivative liabilities</w:t>
            </w:r>
            <w:r>
              <w:rPr>
                <w:rFonts w:ascii="Times New Roman" w:cs="Times New Roman" w:eastAsia="Times New Roman" w:hAnsi="Times New Roman"/>
                <w:sz w:val="22"/>
                <w:szCs w:val="22"/>
                <w:color w:val="auto"/>
                <w:vertAlign w:val="superscript"/>
              </w:rPr>
              <w:t>(i)</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r>
      <w:tr>
        <w:trPr>
          <w:trHeight w:val="225"/>
        </w:trPr>
        <w:tc>
          <w:tcPr>
            <w:tcW w:w="6040" w:type="dxa"/>
            <w:vAlign w:val="bottom"/>
          </w:tcPr>
          <w:p>
            <w:pPr>
              <w:ind w:left="320"/>
              <w:spacing w:after="0" w:line="225" w:lineRule="exact"/>
              <w:rPr>
                <w:sz w:val="20"/>
                <w:szCs w:val="20"/>
                <w:color w:val="auto"/>
              </w:rPr>
            </w:pPr>
            <w:r>
              <w:rPr>
                <w:rFonts w:ascii="Times New Roman" w:cs="Times New Roman" w:eastAsia="Times New Roman" w:hAnsi="Times New Roman"/>
                <w:sz w:val="18"/>
                <w:szCs w:val="18"/>
                <w:color w:val="auto"/>
              </w:rPr>
              <w:t>Loss on revaluation of financial instruments</w:t>
            </w:r>
            <w:r>
              <w:rPr>
                <w:rFonts w:ascii="Times New Roman" w:cs="Times New Roman" w:eastAsia="Times New Roman" w:hAnsi="Times New Roman"/>
                <w:sz w:val="22"/>
                <w:szCs w:val="22"/>
                <w:color w:val="auto"/>
                <w:vertAlign w:val="superscript"/>
              </w:rPr>
              <w:t>(ii)</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20" w:type="dxa"/>
            <w:vAlign w:val="bottom"/>
          </w:tcPr>
          <w:p>
            <w:pPr>
              <w:spacing w:after="0"/>
              <w:rPr>
                <w:sz w:val="19"/>
                <w:szCs w:val="19"/>
                <w:color w:val="auto"/>
              </w:rPr>
            </w:pPr>
          </w:p>
        </w:tc>
      </w:tr>
      <w:tr>
        <w:trPr>
          <w:trHeight w:val="225"/>
        </w:trPr>
        <w:tc>
          <w:tcPr>
            <w:tcW w:w="6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 w:type="dxa"/>
            <w:vAlign w:val="bottom"/>
          </w:tcPr>
          <w:p>
            <w:pPr>
              <w:spacing w:after="0"/>
              <w:rPr>
                <w:sz w:val="19"/>
                <w:szCs w:val="19"/>
                <w:color w:val="auto"/>
              </w:rPr>
            </w:pPr>
          </w:p>
        </w:tc>
      </w:tr>
      <w:tr>
        <w:trPr>
          <w:trHeight w:val="225"/>
        </w:trPr>
        <w:tc>
          <w:tcPr>
            <w:tcW w:w="6040" w:type="dxa"/>
            <w:vAlign w:val="bottom"/>
          </w:tcPr>
          <w:p>
            <w:pPr>
              <w:ind w:left="320"/>
              <w:spacing w:after="0" w:line="225"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2"/>
                <w:szCs w:val="22"/>
                <w:color w:val="auto"/>
                <w:vertAlign w:val="superscript"/>
              </w:rPr>
              <w:t>(iv)</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r>
      <w:tr>
        <w:trPr>
          <w:trHeight w:val="225"/>
        </w:trPr>
        <w:tc>
          <w:tcPr>
            <w:tcW w:w="6040" w:type="dxa"/>
            <w:vAlign w:val="bottom"/>
            <w:shd w:val="clear" w:color="auto" w:fill="CCEEFF"/>
          </w:tcPr>
          <w:p>
            <w:pPr>
              <w:ind w:left="320"/>
              <w:spacing w:after="0" w:line="225"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2"/>
                <w:szCs w:val="22"/>
                <w:color w:val="auto"/>
                <w:vertAlign w:val="superscript"/>
              </w:rPr>
              <w:t>(vi)</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0" w:type="dxa"/>
            <w:vAlign w:val="bottom"/>
          </w:tcPr>
          <w:p>
            <w:pPr>
              <w:spacing w:after="0"/>
              <w:rPr>
                <w:sz w:val="19"/>
                <w:szCs w:val="19"/>
                <w:color w:val="auto"/>
              </w:rPr>
            </w:pPr>
          </w:p>
        </w:tc>
      </w:tr>
      <w:tr>
        <w:trPr>
          <w:trHeight w:val="225"/>
        </w:trPr>
        <w:tc>
          <w:tcPr>
            <w:tcW w:w="6040" w:type="dxa"/>
            <w:vAlign w:val="bottom"/>
          </w:tcPr>
          <w:p>
            <w:pPr>
              <w:ind w:left="320"/>
              <w:spacing w:after="0" w:line="225" w:lineRule="exact"/>
              <w:rPr>
                <w:sz w:val="20"/>
                <w:szCs w:val="20"/>
                <w:color w:val="auto"/>
              </w:rPr>
            </w:pPr>
            <w:r>
              <w:rPr>
                <w:rFonts w:ascii="Times New Roman" w:cs="Times New Roman" w:eastAsia="Times New Roman" w:hAnsi="Times New Roman"/>
                <w:sz w:val="18"/>
                <w:szCs w:val="18"/>
                <w:color w:val="auto"/>
              </w:rPr>
              <w:t>Financial statement review costs</w:t>
            </w:r>
            <w:r>
              <w:rPr>
                <w:rFonts w:ascii="Times New Roman" w:cs="Times New Roman" w:eastAsia="Times New Roman" w:hAnsi="Times New Roman"/>
                <w:sz w:val="22"/>
                <w:szCs w:val="22"/>
                <w:color w:val="auto"/>
                <w:vertAlign w:val="superscript"/>
              </w:rPr>
              <w:t>(vii)</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9"/>
                <w:szCs w:val="19"/>
                <w:color w:val="auto"/>
              </w:rPr>
            </w:pPr>
          </w:p>
        </w:tc>
      </w:tr>
      <w:tr>
        <w:trPr>
          <w:trHeight w:val="243"/>
        </w:trPr>
        <w:tc>
          <w:tcPr>
            <w:tcW w:w="6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20" w:type="dxa"/>
            <w:vAlign w:val="bottom"/>
          </w:tcPr>
          <w:p>
            <w:pPr>
              <w:spacing w:after="0"/>
              <w:rPr>
                <w:sz w:val="20"/>
                <w:szCs w:val="20"/>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480" w:hanging="474"/>
        <w:spacing w:after="0"/>
        <w:tabs>
          <w:tab w:leader="none" w:pos="48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three months ended March 31, 2024 and 2023, loss on revaluation of derivative liabilities represents the fair value changes on the derivative liabilities.</w:t>
      </w:r>
    </w:p>
    <w:p>
      <w:pPr>
        <w:spacing w:after="0" w:line="41" w:lineRule="exact"/>
        <w:rPr>
          <w:rFonts w:ascii="Times New Roman" w:cs="Times New Roman" w:eastAsia="Times New Roman" w:hAnsi="Times New Roman"/>
          <w:sz w:val="9"/>
          <w:szCs w:val="9"/>
          <w:color w:val="auto"/>
        </w:rPr>
      </w:pPr>
    </w:p>
    <w:p>
      <w:pPr>
        <w:ind w:left="480" w:hanging="474"/>
        <w:spacing w:after="0"/>
        <w:tabs>
          <w:tab w:leader="none" w:pos="48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March 31, 2024 and 2023, loss on revaluation of financial instruments related primarily to the Company’s equity securities in Vitura.</w:t>
      </w:r>
    </w:p>
    <w:p>
      <w:pPr>
        <w:spacing w:after="0" w:line="48" w:lineRule="exact"/>
        <w:rPr>
          <w:rFonts w:ascii="Times New Roman" w:cs="Times New Roman" w:eastAsia="Times New Roman" w:hAnsi="Times New Roman"/>
          <w:sz w:val="18"/>
          <w:szCs w:val="18"/>
          <w:color w:val="auto"/>
          <w:vertAlign w:val="superscript"/>
        </w:rPr>
      </w:pPr>
    </w:p>
    <w:p>
      <w:pPr>
        <w:ind w:left="480" w:hanging="474"/>
        <w:spacing w:after="0" w:line="205" w:lineRule="auto"/>
        <w:tabs>
          <w:tab w:leader="none" w:pos="48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March 31, 2024, loss on other investments represents the fair value change on the PharmaCann Option.</w:t>
      </w:r>
    </w:p>
    <w:p>
      <w:pPr>
        <w:spacing w:after="0" w:line="55" w:lineRule="exact"/>
        <w:rPr>
          <w:rFonts w:ascii="Times New Roman" w:cs="Times New Roman" w:eastAsia="Times New Roman" w:hAnsi="Times New Roman"/>
          <w:sz w:val="18"/>
          <w:szCs w:val="18"/>
          <w:color w:val="auto"/>
          <w:vertAlign w:val="superscript"/>
        </w:rPr>
      </w:pPr>
    </w:p>
    <w:p>
      <w:pPr>
        <w:ind w:left="480" w:hanging="474"/>
        <w:spacing w:after="0" w:line="196" w:lineRule="auto"/>
        <w:tabs>
          <w:tab w:leader="none" w:pos="48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March 31, 2024 and 2023, other, net related to (gain) loss on disposal of assets.</w:t>
      </w:r>
    </w:p>
    <w:p>
      <w:pPr>
        <w:spacing w:after="0" w:line="56" w:lineRule="exact"/>
        <w:rPr>
          <w:rFonts w:ascii="Times New Roman" w:cs="Times New Roman" w:eastAsia="Times New Roman" w:hAnsi="Times New Roman"/>
          <w:sz w:val="18"/>
          <w:szCs w:val="18"/>
          <w:color w:val="auto"/>
          <w:vertAlign w:val="superscript"/>
        </w:rPr>
      </w:pPr>
    </w:p>
    <w:p>
      <w:pPr>
        <w:ind w:left="480" w:hanging="474"/>
        <w:spacing w:after="0" w:line="214" w:lineRule="auto"/>
        <w:tabs>
          <w:tab w:leader="none" w:pos="468"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March 31, 2024, restructuring costs from continuing operations related to employee-related severance costs and other restructuring costs associated with the Realignment, as described in Note 6 “</w:t>
      </w:r>
      <w:r>
        <w:rPr>
          <w:rFonts w:ascii="Times New Roman" w:cs="Times New Roman" w:eastAsia="Times New Roman" w:hAnsi="Times New Roman"/>
          <w:sz w:val="14"/>
          <w:szCs w:val="14"/>
          <w:i w:val="1"/>
          <w:iCs w:val="1"/>
          <w:color w:val="auto"/>
        </w:rPr>
        <w:t>Restructuring.</w:t>
      </w:r>
    </w:p>
    <w:p>
      <w:pPr>
        <w:spacing w:after="0" w:line="41" w:lineRule="exact"/>
        <w:rPr>
          <w:rFonts w:ascii="Times New Roman" w:cs="Times New Roman" w:eastAsia="Times New Roman" w:hAnsi="Times New Roman"/>
          <w:sz w:val="18"/>
          <w:szCs w:val="18"/>
          <w:color w:val="auto"/>
          <w:vertAlign w:val="superscript"/>
        </w:rPr>
      </w:pPr>
    </w:p>
    <w:p>
      <w:pPr>
        <w:ind w:left="480" w:hanging="474"/>
        <w:spacing w:after="0" w:line="232" w:lineRule="auto"/>
        <w:tabs>
          <w:tab w:leader="none" w:pos="48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March 31, 2024 and 2023, share-based compensation related to the non-cash expenses of share-based compensation awarded to employees under the Company’s share-based award plans as described in Note 7 “</w:t>
      </w:r>
      <w:r>
        <w:rPr>
          <w:rFonts w:ascii="Times New Roman" w:cs="Times New Roman" w:eastAsia="Times New Roman" w:hAnsi="Times New Roman"/>
          <w:sz w:val="14"/>
          <w:szCs w:val="14"/>
          <w:i w:val="1"/>
          <w:iCs w:val="1"/>
          <w:color w:val="auto"/>
        </w:rPr>
        <w:t>Share-based Compensation.</w:t>
      </w:r>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8"/>
          <w:szCs w:val="18"/>
          <w:color w:val="auto"/>
          <w:vertAlign w:val="superscript"/>
        </w:rPr>
      </w:pPr>
    </w:p>
    <w:p>
      <w:pPr>
        <w:jc w:val="both"/>
        <w:ind w:left="480" w:hanging="474"/>
        <w:spacing w:after="0" w:line="233" w:lineRule="auto"/>
        <w:tabs>
          <w:tab w:leader="none" w:pos="479"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March 31, 2024 and 2023, financial statement review costs include costs and reserves taken related to the Restatements, costs related to the Company’s responses to requests for information from various regulatory authorities relating to the Restatements and legal costs incurred defending shareholder class action complaints brought against the Company as a result of the 2019 restatement. For the three months ended March 31, 2024, a credit balance is presented due to an insurance recovery.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1" w:name="page32"/>
    <w:bookmarkEnd w:id="31"/>
    <w:p>
      <w:pPr>
        <w:ind w:left="998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w:t>
      </w:r>
    </w:p>
    <w:p>
      <w:pPr>
        <w:spacing w:after="0" w:line="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To supplement the consolidated financial statements presented in accordance with U.S. GAAP, we have presented constant currency adjusted financial measures for net revenues, gross profit, gross profit margin, operating expenses, net income (loss) and Adjusted EBITDA for the three months ended March 31, 2024, as well as cash and cash equivalents and short-term investment balances as of March 31, 2024 compared to December 31, 2023, which are considered non-GAAP financial measures. We present constant currency information to provide a framework for assessing how our underlying operations performed excluding the effect of foreign currency rate fluctuations. To present this information, current and comparative prior period income statement results in currencies other than U.S. dollars are converted into U.S. dollars using the average exchange rates from the three month comparative period in 2023 rather than the actual average exchange rates in effect during the respective current periods; constant currency current and prior comparative balance sheet information is translated at the prior year-end spot rate rather than the current period spot rate. All growth comparisons relate to the corresponding period in 2023. We have provided this non-GAAP financial information to aid investors in better understanding the performance of our operations. The non-GAAP financial measures presented in this Quarterly Report should not be considered as a substitute for, or superior to, the measures of financial performance</w:t>
      </w:r>
    </w:p>
    <w:p>
      <w:pPr>
        <w:spacing w:after="0" w:line="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prepared in accordance with U.S. GAAP. See further discussion on foreign currency risk as noted in Item 3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Quantitative and Qualitative Disclosures About Market Risk.”</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table below sets forth certain measures of consolidated results from continuing operations on a constant currency basis for the three months ended March 31, 2024 compared to the three months ended March 31, 2023 as well as cash and cash equivalents and short-term investments as of March 31, 2024 and December 31, 2023, both on an as-reported and constant currency basis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1"/>
                <w:szCs w:val="11"/>
                <w:color w:val="auto"/>
              </w:rPr>
            </w:pPr>
          </w:p>
        </w:tc>
        <w:tc>
          <w:tcPr>
            <w:tcW w:w="1840" w:type="dxa"/>
            <w:vAlign w:val="bottom"/>
            <w:gridSpan w:val="3"/>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1880" w:type="dxa"/>
            <w:vAlign w:val="bottom"/>
            <w:gridSpan w:val="4"/>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25,288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19,495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9"/>
                <w:szCs w:val="19"/>
                <w:color w:val="auto"/>
              </w:rPr>
            </w:pPr>
          </w:p>
        </w:tc>
        <w:tc>
          <w:tcPr>
            <w:tcW w:w="11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 pp</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pp</w:t>
            </w:r>
          </w:p>
        </w:tc>
        <w:tc>
          <w:tcPr>
            <w:tcW w:w="0" w:type="dxa"/>
            <w:vAlign w:val="bottom"/>
          </w:tcPr>
          <w:p>
            <w:pPr>
              <w:spacing w:after="0"/>
              <w:rPr>
                <w:sz w:val="1"/>
                <w:szCs w:val="1"/>
                <w:color w:val="auto"/>
              </w:rPr>
            </w:pPr>
          </w:p>
        </w:tc>
      </w:tr>
      <w:tr>
        <w:trPr>
          <w:trHeight w:val="265"/>
        </w:trPr>
        <w:tc>
          <w:tcPr>
            <w:tcW w:w="2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20,431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23,696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20,475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172"/>
        </w:trPr>
        <w:tc>
          <w:tcPr>
            <w:tcW w:w="21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Net loss from continuing</w:t>
            </w:r>
          </w:p>
        </w:tc>
        <w:tc>
          <w:tcPr>
            <w:tcW w:w="140" w:type="dxa"/>
            <w:vAlign w:val="bottom"/>
          </w:tcPr>
          <w:p>
            <w:pPr>
              <w:spacing w:after="0"/>
              <w:rPr>
                <w:sz w:val="14"/>
                <w:szCs w:val="14"/>
                <w:color w:val="auto"/>
              </w:rPr>
            </w:pPr>
          </w:p>
        </w:tc>
        <w:tc>
          <w:tcPr>
            <w:tcW w:w="1120" w:type="dxa"/>
            <w:vAlign w:val="bottom"/>
            <w:vMerge w:val="restart"/>
          </w:tcPr>
          <w:p>
            <w:pPr>
              <w:jc w:val="right"/>
              <w:ind w:right="78"/>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236"/>
              <w:spacing w:after="0"/>
              <w:rPr>
                <w:sz w:val="20"/>
                <w:szCs w:val="20"/>
                <w:color w:val="auto"/>
              </w:rPr>
            </w:pPr>
            <w:r>
              <w:rPr>
                <w:rFonts w:ascii="Times New Roman" w:cs="Times New Roman" w:eastAsia="Times New Roman" w:hAnsi="Times New Roman"/>
                <w:sz w:val="18"/>
                <w:szCs w:val="18"/>
                <w:color w:val="auto"/>
              </w:rPr>
              <w:t>(18,035)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15,554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(10,669)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(15,682)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(10,645)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2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58"/>
              <w:spacing w:after="0" w:line="128" w:lineRule="exact"/>
              <w:rPr>
                <w:sz w:val="20"/>
                <w:szCs w:val="20"/>
                <w:color w:val="auto"/>
              </w:rPr>
            </w:pPr>
            <w:r>
              <w:rPr>
                <w:rFonts w:ascii="Times New Roman" w:cs="Times New Roman" w:eastAsia="Times New Roman" w:hAnsi="Times New Roman"/>
                <w:sz w:val="14"/>
                <w:szCs w:val="14"/>
                <w:b w:val="1"/>
                <w:bCs w:val="1"/>
                <w:color w:val="auto"/>
              </w:rPr>
              <w:t>As of March 31,</w:t>
            </w:r>
          </w:p>
        </w:tc>
        <w:tc>
          <w:tcPr>
            <w:tcW w:w="100" w:type="dxa"/>
            <w:vAlign w:val="bottom"/>
          </w:tcPr>
          <w:p>
            <w:pPr>
              <w:spacing w:after="0"/>
              <w:rPr>
                <w:sz w:val="11"/>
                <w:szCs w:val="11"/>
                <w:color w:val="auto"/>
              </w:rPr>
            </w:pPr>
          </w:p>
        </w:tc>
        <w:tc>
          <w:tcPr>
            <w:tcW w:w="13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3"/>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4"/>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855,114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669,291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856,236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192,237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(192,237)</w:t>
            </w: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8"/>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855,114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861,528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856,236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131"/>
        </w:trPr>
        <w:tc>
          <w:tcPr>
            <w:tcW w:w="2160" w:type="dxa"/>
            <w:vAlign w:val="bottom"/>
            <w:tcBorders>
              <w:bottom w:val="single" w:sz="8" w:color="CCEEFF"/>
            </w:tcBorders>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and short-term investments</w:t>
            </w:r>
          </w:p>
        </w:tc>
        <w:tc>
          <w:tcPr>
            <w:tcW w:w="14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4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1"/>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0" w:type="dxa"/>
            <w:vAlign w:val="bottom"/>
          </w:tcPr>
          <w:p>
            <w:pPr>
              <w:spacing w:after="0"/>
              <w:rPr>
                <w:sz w:val="1"/>
                <w:szCs w:val="1"/>
                <w:color w:val="auto"/>
              </w:rPr>
            </w:pPr>
          </w:p>
        </w:tc>
      </w:tr>
      <w:tr>
        <w:trPr>
          <w:trHeight w:val="763"/>
        </w:trPr>
        <w:tc>
          <w:tcPr>
            <w:tcW w:w="2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1"/>
                <w:szCs w:val="11"/>
                <w:color w:val="auto"/>
              </w:rPr>
            </w:pPr>
          </w:p>
        </w:tc>
        <w:tc>
          <w:tcPr>
            <w:tcW w:w="20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120" w:type="dxa"/>
            <w:vAlign w:val="bottom"/>
          </w:tcPr>
          <w:p>
            <w:pPr>
              <w:spacing w:after="0"/>
              <w:rPr>
                <w:sz w:val="11"/>
                <w:szCs w:val="11"/>
                <w:color w:val="auto"/>
              </w:rPr>
            </w:pPr>
          </w:p>
        </w:tc>
        <w:tc>
          <w:tcPr>
            <w:tcW w:w="15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2140" w:type="dxa"/>
            <w:vAlign w:val="bottom"/>
            <w:gridSpan w:val="5"/>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1"/>
        </w:trPr>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21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Cannabis flower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17,755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Cannabis extracts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8"/>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0"/>
                <w:szCs w:val="10"/>
                <w:color w:val="auto"/>
              </w:rPr>
            </w:pPr>
          </w:p>
        </w:tc>
        <w:tc>
          <w:tcPr>
            <w:tcW w:w="20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120" w:type="dxa"/>
            <w:vAlign w:val="bottom"/>
          </w:tcPr>
          <w:p>
            <w:pPr>
              <w:spacing w:after="0"/>
              <w:rPr>
                <w:sz w:val="10"/>
                <w:szCs w:val="10"/>
                <w:color w:val="auto"/>
              </w:rPr>
            </w:pPr>
          </w:p>
        </w:tc>
        <w:tc>
          <w:tcPr>
            <w:tcW w:w="15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0"/>
                <w:szCs w:val="10"/>
                <w:color w:val="auto"/>
              </w:rPr>
            </w:pPr>
          </w:p>
        </w:tc>
        <w:tc>
          <w:tcPr>
            <w:tcW w:w="2140" w:type="dxa"/>
            <w:vAlign w:val="bottom"/>
            <w:gridSpan w:val="5"/>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21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5"/>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net revenue on a constant currency basis was $25.5 million, representing a 31% increase from the three months ended March 31, 2023. On a constant currency basis, net revenue increased for the three months ended March 31, 2024 primarily due to higher cannabis flower and extract sales in the Canadian adult-use market and higher cannabis flower sales in Israel, partially offset by an adverse price/mix in the Canadian cannabis flower category driving increased excise tax payments as a percentage of revenue.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gross profit on a constant currency basis was $4.5 million, representing a 55% increase from the three months ended March 31, 2023. On a constant currency basis, gross profit increased for the three months ended March 31, 2024 primarily due to higher cannabis flower and extract sales in the Canadian adult-use market and higher cannabis flower sales in Israel and favorable labor, overhead and inventory variances, partially offset by an adverse price/mix in the Canadian cannabis flower category driving increased excise tax payments as a percentage of revenue.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For the three months ended March 31, 2024, operating expenses on a constant currency basis were $20.5 million, representing a 14% decrease from the three months ended March 31, 2023. On a constant currency basis, operating expenses decreased for the three months ended March 31, 2024, primarily due to lower advertising and marketing spend, lower costs associated with the achievement of Ginkgo milestones, lower professional fees, largely related to financial statement review costs, and lower bonus, payroll and insurance costs.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2024, net income on a constant currency basis was $2.5 million, representing an improvement of $15.6 million from the three months ended March 31,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three months ended March 31, 2024, Adjusted EBITDA on a constant currency basis was $(10.6) million, representing a 32% improvement from the three months ended March 31, 2023. The improvement in Adjusted EBITDA for the three months ended March 31, 2024 on a constant currency basis was driven by higher cannabis flower and extract sales in the Canadian adult-use market, higher cannabis flower sales in Israel, decreases in general and administrative expenses and lower costs associated with the achievement of Ginkgo milestones, partially offset by an adverse price/mix in Canada in the cannabis flower category driving increased excise tax payments as a percentage of revenue.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&amp; short-term investments</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Cash and cash equivalents and short-term investments on a constant currency basis decreased 1% to $856.2 million as of March 31, 2024 from $861.5 million as of December 31, 2023. The decrease in cash and cash equivalents and short-term investments is primarily due to cash flows used in operating activities in the three months ended March 31, 2024.</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31, 2024, we had $855.1 million in cash and cash equivalents and no short-term investments. We believe that the existing cash and cash equivalents and short-term investments will be sufficient to fund the business operations and capital expenditures over the next twelve months. The following table summarizes the cash flows from operating, investing and financing activities: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520" w:type="dxa"/>
            <w:vAlign w:val="bottom"/>
          </w:tcPr>
          <w:p>
            <w:pPr>
              <w:spacing w:after="0"/>
              <w:rPr>
                <w:sz w:val="16"/>
                <w:szCs w:val="16"/>
                <w:color w:val="auto"/>
              </w:rPr>
            </w:pPr>
          </w:p>
        </w:tc>
        <w:tc>
          <w:tcPr>
            <w:tcW w:w="374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r>
      <w:tr>
        <w:trPr>
          <w:trHeight w:val="24"/>
        </w:trPr>
        <w:tc>
          <w:tcPr>
            <w:tcW w:w="6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6"/>
        </w:trPr>
        <w:tc>
          <w:tcPr>
            <w:tcW w:w="69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(47,693)</w:t>
            </w:r>
          </w:p>
        </w:tc>
      </w:tr>
      <w:tr>
        <w:trPr>
          <w:trHeight w:val="225"/>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5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(303,812)</w:t>
            </w:r>
          </w:p>
        </w:tc>
      </w:tr>
      <w:tr>
        <w:trPr>
          <w:trHeight w:val="225"/>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5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5"/>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foreign currency translation on cash and cash equivalents</w:t>
            </w:r>
          </w:p>
        </w:tc>
        <w:tc>
          <w:tcPr>
            <w:tcW w:w="5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(350,977)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2500"/>
        <w:spacing w:after="0" w:line="3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cash flows between the three months ended March 31, 2024 and the three months ended March 31, 2023 </w:t>
      </w:r>
      <w:r>
        <w:rPr>
          <w:rFonts w:ascii="Times New Roman" w:cs="Times New Roman" w:eastAsia="Times New Roman" w:hAnsi="Times New Roman"/>
          <w:sz w:val="18"/>
          <w:szCs w:val="18"/>
          <w:i w:val="1"/>
          <w:iCs w:val="1"/>
          <w:color w:val="auto"/>
        </w:rPr>
        <w:t>Operating activities</w:t>
      </w: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three months ended March 31, 2024, we used $2.2 million of cash in operating activities as compared to cash used of $47.7 million in the three months ended March 31, 2023, representing a decrease in cash used of $45.5 million. This change is primarily driven by a $12.3 million increase in net income after adjusting for non-cash items during the three months ended March 31, 2024 compared to the three months ended March 31, 2023, a $32.8 million decrease in income taxes payable in the prior period as a result of a tax payment connected to the previously disclosed relinquishment by Altria of its warrant to purchase additional shares of the Company, higher interest received and lower increases in inventory, partially offset by an increase in accounts receivable, net and a decrease in accounts payable.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2024, we generated $189.6 million of cash in investing activities, compared to $303.8 million of cash used in investing activities during the three months ended March 31, 2023, representing a change of $493.4 million. This change is primarily driven by the maturity of certain short-term investments, which were reinvested as cash equivalents upon maturity in the three months ended March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cash used in financing activities was $0.6 million, compared to $0.7 million of cash used in financing activities during three months ended March 31, 2023, representing a decrease of $0.1 million in cash used in financing activities. This change is primarily driven by a decrease of $0.1 million in withholding taxes paid on share-based awards during three months ended March 31, 2024 compared to three months ended March 31,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requirements have not changed significantly since the filing of the Annual Report.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critical accounting policies and estimates are discussed in Item 7, “Management’s Discussion and Analysis of Financial Condition and Results of Operations” in our Annual Report. Our critical accounting policies and estimates have not changed significantly since the filing of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is exposed to certain market risks, including changes from foreign currency exchange rates related to our international operations. Except as updated below, the Company’s market risks have not changed significantly from the market risk disclosed in Item 7A, “Quantitative and Qualitative Disclosures About Market Risk” in our Annual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included in Part I, Item 1. “Financial Statements” of this Quarterly Report are expressed in U.S. dollars. The Company is exposed to foreign currency risk based on its net assets, liabilities, and revenues denominated in foreign currencies, including Canadian dollars and Israeli new shekels. As a result, we are exposed to foreign currency translation gains and losses. Revenue and expenses of all foreign operations are translated into U.S. dollars at the foreign currency exchange rates that approximate the rates in effect during the period when such items are recognized. Appreciating foreign currencies relative to the U.S. dollar will positively impact operating income and net earnings, while depreciating foreign currencies relative to the U.S. dollar will have an adverse impact.</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10% change in the exchange rates for the Canadian dollar would have affected the carrying amount of the net assets by approximately $103.6 million and $97.7 million as of March 31, 2024 and December 31, 2023, respectively. The corresponding impact would be recorded in accumulated other comprehensive income.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and losses could have a significant, and potentially adverse, effect on the Company’s results of operations.</w:t>
      </w:r>
    </w:p>
    <w:p>
      <w:pPr>
        <w:spacing w:after="0" w:line="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31, 2024, the Company had foreign currency loss on translation of $22.4 million. During the three months ended March 31, 2023 the Company had foreign currency gain on translation of $2.4 million.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ind w:left="640" w:hanging="634"/>
        <w:spacing w:after="0"/>
        <w:tabs>
          <w:tab w:leader="none" w:pos="64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with the participation of the Chief Executive Officer and the Chief Financial Officer, performed an evaluation of the disclosure controls and procedures, as defined in Rules 13a-15(e) and 15d-15(e) of the Securities Exchange Act of 1934 (the “Exchange Act”), as of March 31, 2024. Based on that evaluation, management has concluded that, as of March 31, 2024, the disclosure controls and procedures were effective to provide reasonable assurance that the information required to be disclosed by us in reports we file or submit under the Exchange Act were recorded, processed, summarized and reported within the time periods specified in the rules and forms of the SEC, and to ensure that the information required to be disclosed by us in reports that we file or submit under the Exchange Act, is accumulated and communicated to management, including the principal executive officer and principal financial officer, as appropriate, to allow timely decisions regarding required disclosure.</w:t>
      </w:r>
    </w:p>
    <w:p>
      <w:pPr>
        <w:spacing w:after="0" w:line="65" w:lineRule="exact"/>
        <w:rPr>
          <w:sz w:val="20"/>
          <w:szCs w:val="20"/>
          <w:color w:val="auto"/>
        </w:rPr>
      </w:pPr>
    </w:p>
    <w:p>
      <w:pPr>
        <w:ind w:left="640" w:hanging="634"/>
        <w:spacing w:after="0"/>
        <w:tabs>
          <w:tab w:leader="none" w:pos="64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three months ended March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set forth under Note 9(b), Contingencies, to the Company’s condensed consolidated interim financial statements included in Part I, Item 1 “Financial Statements” of this Quarterly Report is incorporated herein by reference.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investment in us involves a number of risks. A detailed discussion of our risk factors appears in Part I, Item 1A. Risk Factors of the Annual Report. Any of the matters highlighted in the risk factors described in the Annual Report could adversely affect our business, results of operations and financial condition, causing an investor to lose all, or part of, its, his or her investment. The risks and uncertainties described in the Annual Report are those we currently believe to be material, but they are not the only ones we face. If any of the risks described in the Annual Report, or any other risks and uncertainties that we have not yet identified or that we currently consider not to be material, actually occur or become material risks, our business, prospects, financial condition, results of operations and cash flows and consequently the price of our securities could be materially and adversely affected.</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appoint a new auditor in time to obtain a review of our financial statements for the third quarter of 2024 by an independent registered public accounting firm.</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KPMG LLP, our current independent registered public accounting firm, has informed us that it will not stand for re-appointment for the Company’s 2024 annual audit and that it will review our financial statements only for the first and second fiscal quarters of 2024. If our process to appoint a new auditor is delayed and we are unable to appoint a new auditor in time for the new auditor to review our financial statements for the third fiscal quarter of 2024, we will be unable to comply with our periodic reporting obligations under the Exchange Act and Canadian securities laws and timely file our public filings with the SEC and Canadian securities regulators. Our ability to timely retain a new auditor is not within our control; it depends on, among other things, how many auditors participate in our request for proposal process, the qualifications of the submitting firms and the amount of work the new auditor will need to perform to conduct a review of our third-quarter financial statements. No assurance can be given that we will retain an auditor in time to review our third-quarter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32"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During the three months ended March 31, 2024, no directors or executive officers entered into, modified or terminated, contracts, instructions or written plans for the sale or purchase of the Company’s securities that were intended to satisfy the affirmative defense conditions of Rule 10b5-1 or that constituted non-Rule 10b5-1 trading arrangements (as defined in Item 408(c) of Regulation S-K).</w:t>
      </w:r>
    </w:p>
    <w:p>
      <w:pPr>
        <w:spacing w:after="0" w:line="237" w:lineRule="auto"/>
        <w:rPr>
          <w:sz w:val="20"/>
          <w:szCs w:val="20"/>
          <w:color w:val="auto"/>
        </w:rPr>
      </w:pPr>
      <w:r>
        <w:rPr>
          <w:rFonts w:ascii="Times New Roman" w:cs="Times New Roman" w:eastAsia="Times New Roman" w:hAnsi="Times New Roman"/>
          <w:sz w:val="18"/>
          <w:szCs w:val="18"/>
          <w:color w:val="auto"/>
        </w:rPr>
        <w:t>Certain of our officers or directors have made, and may from time to time make, elections to have shares withheld to cover withholding taxes or pay the exercise price of options, which may be designed to satisfy the affirmative defense conditions of Rule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10b5-1 under the Exchange Act or may constitute non-Rule 10b5–1 trading arrangements (as defined in Item 408(c) of Regulation S-K).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 Index immediately below are filed as part of this Quarterly Report, which Exhibit Index is corporate by reference herein.</w:t>
      </w:r>
    </w:p>
    <w:p>
      <w:pPr>
        <w:sectPr>
          <w:pgSz w:w="11900" w:h="16838" w:orient="portrait"/>
          <w:cols w:equalWidth="0" w:num="1">
            <w:col w:w="11240"/>
          </w:cols>
          <w:pgMar w:left="320" w:top="121" w:right="339" w:bottom="1440" w:gutter="0" w:footer="0" w:header="0"/>
        </w:sectPr>
      </w:pPr>
    </w:p>
    <w:p>
      <w:pPr>
        <w:spacing w:after="0" w:line="3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40"/>
        <w:spacing w:after="0"/>
        <w:rPr>
          <w:sz w:val="20"/>
          <w:szCs w:val="20"/>
          <w:color w:val="auto"/>
        </w:rPr>
      </w:pPr>
      <w:r>
        <w:rPr>
          <w:rFonts w:ascii="Times New Roman" w:cs="Times New Roman" w:eastAsia="Times New Roman" w:hAnsi="Times New Roman"/>
          <w:sz w:val="17"/>
          <w:szCs w:val="17"/>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698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w:t>
      </w:r>
    </w:p>
    <w:p>
      <w:pPr>
        <w:spacing w:after="0" w:line="2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6226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26175" cy="8255"/>
                    </a:xfrm>
                    <a:prstGeom prst="rect">
                      <a:avLst/>
                    </a:prstGeom>
                    <a:noFill/>
                  </pic:spPr>
                </pic:pic>
              </a:graphicData>
            </a:graphic>
          </wp:anchor>
        </w:drawing>
      </w:r>
    </w:p>
    <w:p>
      <w:pPr>
        <w:spacing w:after="0" w:line="14" w:lineRule="exact"/>
        <w:rPr>
          <w:sz w:val="20"/>
          <w:szCs w:val="20"/>
          <w:color w:val="auto"/>
        </w:rPr>
      </w:pPr>
    </w:p>
    <w:p>
      <w:pPr>
        <w:ind w:right="20"/>
        <w:spacing w:after="0" w:line="234" w:lineRule="auto"/>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Certificate of Continuance, Notice of Articles and Articles of Cronos Group Inc.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Quarterly Report on Form 10-Q of Cronos Group Inc., filed August 6, 2020).</w:t>
        </w:r>
      </w:hyperlink>
    </w:p>
    <w:p>
      <w:pPr>
        <w:spacing w:after="0" w:line="7" w:lineRule="exact"/>
        <w:rPr>
          <w:sz w:val="20"/>
          <w:szCs w:val="20"/>
          <w:color w:val="auto"/>
        </w:rPr>
      </w:pPr>
    </w:p>
    <w:p>
      <w:pPr>
        <w:ind w:right="20"/>
        <w:spacing w:after="0" w:line="234" w:lineRule="auto"/>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Voting Agreement, dated as of April 25, 2024, by and between Cronos Group Inc. and Altria Group, Inc. (incorporated by reference to</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Exhibit 10.1 to the Current Report on Form 8-K of Cronos Group Inc., filed April 25, 2024).</w:t>
        </w:r>
      </w:hyperlink>
    </w:p>
    <w:p>
      <w:pPr>
        <w:spacing w:after="0" w:line="1" w:lineRule="exact"/>
        <w:rPr>
          <w:sz w:val="20"/>
          <w:szCs w:val="20"/>
          <w:color w:val="auto"/>
        </w:rPr>
      </w:pPr>
    </w:p>
    <w:p>
      <w:pPr>
        <w:sectPr>
          <w:pgSz w:w="11900" w:h="16838" w:orient="portrait"/>
          <w:cols w:equalWidth="0" w:num="2">
            <w:col w:w="860" w:space="600"/>
            <w:col w:w="9780"/>
          </w:cols>
          <w:pgMar w:left="320" w:top="121" w:right="339" w:bottom="1440" w:gutter="0" w:footer="0" w:header="0"/>
          <w:type w:val="continuous"/>
        </w:sectPr>
      </w:pPr>
    </w:p>
    <w:tbl>
      <w:tblPr>
        <w:tblLayout w:type="fixed"/>
        <w:tblInd w:w="180" w:type="dxa"/>
        <w:tblCellMar>
          <w:top w:w="0" w:type="dxa"/>
          <w:left w:w="0" w:type="dxa"/>
          <w:bottom w:w="0" w:type="dxa"/>
          <w:right w:w="0" w:type="dxa"/>
        </w:tblCellMar>
      </w:tblPr>
      <w:tr>
        <w:trPr>
          <w:trHeight w:val="198"/>
        </w:trPr>
        <w:tc>
          <w:tcPr>
            <w:tcW w:w="1280" w:type="dxa"/>
            <w:vAlign w:val="bottom"/>
          </w:tcPr>
          <w:p>
            <w:pPr>
              <w:jc w:val="center"/>
              <w:ind w:right="432"/>
              <w:spacing w:after="0" w:line="198" w:lineRule="exact"/>
              <w:rPr>
                <w:sz w:val="20"/>
                <w:szCs w:val="20"/>
                <w:color w:val="auto"/>
              </w:rPr>
            </w:pPr>
            <w:r>
              <w:rPr>
                <w:rFonts w:ascii="Times New Roman" w:cs="Times New Roman" w:eastAsia="Times New Roman" w:hAnsi="Times New Roman"/>
                <w:sz w:val="18"/>
                <w:szCs w:val="18"/>
                <w:color w:val="auto"/>
              </w:rPr>
              <w:t>16.1</w:t>
            </w:r>
          </w:p>
        </w:tc>
        <w:tc>
          <w:tcPr>
            <w:tcW w:w="9820" w:type="dxa"/>
            <w:vAlign w:val="bottom"/>
            <w:gridSpan w:val="9"/>
          </w:tcPr>
          <w:p>
            <w:pPr>
              <w:spacing w:after="0" w:line="198"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Letter from KPMG LLP to the Securities and Exchange Commission dated April 16, 2024 (incorporated by reference to Exhibit 16.1 to</w:t>
              </w:r>
            </w:hyperlink>
          </w:p>
        </w:tc>
      </w:tr>
      <w:tr>
        <w:trPr>
          <w:trHeight w:val="152"/>
        </w:trPr>
        <w:tc>
          <w:tcPr>
            <w:tcW w:w="128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the Current Report on Form 8-K of Cronos Group Inc., filed April 16, 2024).</w:t>
              </w:r>
            </w:hyperlink>
          </w:p>
        </w:tc>
        <w:tc>
          <w:tcPr>
            <w:tcW w:w="43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695"/>
        </w:trPr>
        <w:tc>
          <w:tcPr>
            <w:tcW w:w="128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8"/>
              </w:rPr>
              <w:t>31.1*</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Rules 13a-14(a) and 15d-14(a) of the Securities Exchange Act of 1934, as</w:t>
            </w:r>
          </w:p>
        </w:tc>
      </w:tr>
      <w:tr>
        <w:trPr>
          <w:trHeight w:val="152"/>
        </w:trPr>
        <w:tc>
          <w:tcPr>
            <w:tcW w:w="1280" w:type="dxa"/>
            <w:vAlign w:val="bottom"/>
          </w:tcPr>
          <w:p>
            <w:pPr>
              <w:spacing w:after="0"/>
              <w:rPr>
                <w:sz w:val="13"/>
                <w:szCs w:val="13"/>
                <w:color w:val="auto"/>
              </w:rPr>
            </w:pPr>
          </w:p>
        </w:tc>
        <w:tc>
          <w:tcPr>
            <w:tcW w:w="9760" w:type="dxa"/>
            <w:vAlign w:val="bottom"/>
            <w:tcBorders>
              <w:top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8"/>
        </w:trPr>
        <w:tc>
          <w:tcPr>
            <w:tcW w:w="128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8"/>
              </w:rPr>
              <w:t>31.2*</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Rules 13a-14(a) and 15d-14(a) of the Securities Exchange Act of 1934, as</w:t>
            </w:r>
          </w:p>
        </w:tc>
      </w:tr>
      <w:tr>
        <w:trPr>
          <w:trHeight w:val="152"/>
        </w:trPr>
        <w:tc>
          <w:tcPr>
            <w:tcW w:w="1280" w:type="dxa"/>
            <w:vAlign w:val="bottom"/>
          </w:tcPr>
          <w:p>
            <w:pPr>
              <w:spacing w:after="0"/>
              <w:rPr>
                <w:sz w:val="13"/>
                <w:szCs w:val="13"/>
                <w:color w:val="auto"/>
              </w:rPr>
            </w:pPr>
          </w:p>
        </w:tc>
        <w:tc>
          <w:tcPr>
            <w:tcW w:w="9780" w:type="dxa"/>
            <w:vAlign w:val="bottom"/>
            <w:tcBorders>
              <w:top w:val="single" w:sz="8" w:color="0000FF"/>
            </w:tcBorders>
            <w:gridSpan w:val="7"/>
          </w:tcPr>
          <w:p>
            <w:pPr>
              <w:spacing w:after="0" w:line="152"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18"/>
        </w:trPr>
        <w:tc>
          <w:tcPr>
            <w:tcW w:w="128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6"/>
              </w:rPr>
              <w:t>32.1**</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18 U.S.C. Section 1350, as adopted pursuant to Section 906 of the Sarbanes-</w:t>
            </w:r>
          </w:p>
        </w:tc>
      </w:tr>
      <w:tr>
        <w:trPr>
          <w:trHeight w:val="152"/>
        </w:trPr>
        <w:tc>
          <w:tcPr>
            <w:tcW w:w="128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Oxley Act of 2002.</w:t>
            </w:r>
          </w:p>
        </w:tc>
        <w:tc>
          <w:tcPr>
            <w:tcW w:w="8260" w:type="dxa"/>
            <w:vAlign w:val="bottom"/>
            <w:tcBorders>
              <w:top w:val="single" w:sz="8" w:color="0000FF"/>
            </w:tcBorders>
            <w:gridSpan w:val="4"/>
          </w:tcPr>
          <w:p>
            <w:pPr>
              <w:spacing w:after="0"/>
              <w:rPr>
                <w:sz w:val="13"/>
                <w:szCs w:val="13"/>
                <w:color w:val="auto"/>
              </w:rPr>
            </w:pPr>
          </w:p>
        </w:tc>
        <w:tc>
          <w:tcPr>
            <w:tcW w:w="200" w:type="dxa"/>
            <w:vAlign w:val="bottom"/>
            <w:gridSpan w:val="4"/>
          </w:tcPr>
          <w:p>
            <w:pPr>
              <w:spacing w:after="0"/>
              <w:rPr>
                <w:sz w:val="13"/>
                <w:szCs w:val="13"/>
                <w:color w:val="auto"/>
              </w:rPr>
            </w:pPr>
          </w:p>
        </w:tc>
      </w:tr>
      <w:tr>
        <w:trPr>
          <w:trHeight w:val="218"/>
        </w:trPr>
        <w:tc>
          <w:tcPr>
            <w:tcW w:w="128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6"/>
              </w:rPr>
              <w:t>32.2**</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w:t>
            </w:r>
          </w:p>
        </w:tc>
      </w:tr>
      <w:tr>
        <w:trPr>
          <w:trHeight w:val="152"/>
        </w:trPr>
        <w:tc>
          <w:tcPr>
            <w:tcW w:w="128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Oxley Act of 2002.</w:t>
            </w:r>
          </w:p>
        </w:tc>
        <w:tc>
          <w:tcPr>
            <w:tcW w:w="8200" w:type="dxa"/>
            <w:vAlign w:val="bottom"/>
            <w:tcBorders>
              <w:top w:val="single" w:sz="8" w:color="0000FF"/>
            </w:tcBorders>
            <w:gridSpan w:val="3"/>
          </w:tcPr>
          <w:p>
            <w:pPr>
              <w:spacing w:after="0"/>
              <w:rPr>
                <w:sz w:val="13"/>
                <w:szCs w:val="13"/>
                <w:color w:val="auto"/>
              </w:rPr>
            </w:pPr>
          </w:p>
        </w:tc>
        <w:tc>
          <w:tcPr>
            <w:tcW w:w="260" w:type="dxa"/>
            <w:vAlign w:val="bottom"/>
            <w:gridSpan w:val="5"/>
          </w:tcPr>
          <w:p>
            <w:pPr>
              <w:spacing w:after="0"/>
              <w:rPr>
                <w:sz w:val="13"/>
                <w:szCs w:val="13"/>
                <w:color w:val="auto"/>
              </w:rPr>
            </w:pPr>
          </w:p>
        </w:tc>
      </w:tr>
      <w:tr>
        <w:trPr>
          <w:trHeight w:val="253"/>
        </w:trPr>
        <w:tc>
          <w:tcPr>
            <w:tcW w:w="128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101.INS*</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5"/>
        </w:trPr>
        <w:tc>
          <w:tcPr>
            <w:tcW w:w="128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7"/>
              </w:rPr>
              <w:t>101.SCH*</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5"/>
        </w:trPr>
        <w:tc>
          <w:tcPr>
            <w:tcW w:w="128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9"/>
              </w:rPr>
              <w:t>101.CAL*</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5"/>
        </w:trPr>
        <w:tc>
          <w:tcPr>
            <w:tcW w:w="128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6"/>
              </w:rPr>
              <w:t>101.DEF*</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5"/>
        </w:trPr>
        <w:tc>
          <w:tcPr>
            <w:tcW w:w="128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9"/>
              </w:rPr>
              <w:t>101.LAB*</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1"/>
        </w:trPr>
        <w:tc>
          <w:tcPr>
            <w:tcW w:w="128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101.PRE*</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31553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700" w:firstLine="6"/>
        <w:spacing w:after="0" w:line="307"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“filed” for purposes of Section 18 of the Securities Exchange Act of 1934, as amended.</w:t>
      </w:r>
    </w:p>
    <w:p>
      <w:pPr>
        <w:spacing w:after="0" w:line="58" w:lineRule="exact"/>
        <w:rPr>
          <w:sz w:val="20"/>
          <w:szCs w:val="20"/>
          <w:color w:val="auto"/>
        </w:rPr>
      </w:pPr>
    </w:p>
    <w:p>
      <w:pPr>
        <w:ind w:left="640" w:hanging="634"/>
        <w:spacing w:after="0" w:line="274" w:lineRule="auto"/>
        <w:tabs>
          <w:tab w:leader="none" w:pos="5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(or similar attachments) have been omitted pursuant to Item 601(b)(10) of Regulation S-K. The registrant agrees to furnish supplementally a copy of any such omitted schedule or other attachment to the SEC upon its request.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CRONOS GROUP INC.</w:t>
      </w:r>
    </w:p>
    <w:p>
      <w:pPr>
        <w:spacing w:after="0" w:line="71" w:lineRule="exact"/>
        <w:rPr>
          <w:sz w:val="20"/>
          <w:szCs w:val="20"/>
          <w:color w:val="auto"/>
        </w:rPr>
      </w:pPr>
    </w:p>
    <w:p>
      <w:pPr>
        <w:ind w:left="542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14605</wp:posOffset>
            </wp:positionV>
            <wp:extent cx="34328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432810" cy="8255"/>
                    </a:xfrm>
                    <a:prstGeom prst="rect">
                      <a:avLst/>
                    </a:prstGeom>
                    <a:noFill/>
                  </pic:spPr>
                </pic:pic>
              </a:graphicData>
            </a:graphic>
          </wp:anchor>
        </w:drawing>
      </w:r>
    </w:p>
    <w:p>
      <w:pPr>
        <w:spacing w:after="0" w:line="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James Holm</w:t>
      </w:r>
    </w:p>
    <w:p>
      <w:pPr>
        <w:spacing w:after="0" w:line="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9, 2024</w:t>
      </w:r>
    </w:p>
    <w:p>
      <w:pPr>
        <w:spacing w:after="0" w:line="244" w:lineRule="exact"/>
        <w:rPr>
          <w:sz w:val="20"/>
          <w:szCs w:val="20"/>
          <w:color w:val="auto"/>
        </w:rPr>
      </w:pPr>
    </w:p>
    <w:p>
      <w:pPr>
        <w:ind w:left="542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Jimmy McGinness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14605</wp:posOffset>
            </wp:positionV>
            <wp:extent cx="34328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432810" cy="8255"/>
                    </a:xfrm>
                    <a:prstGeom prst="rect">
                      <a:avLst/>
                    </a:prstGeom>
                    <a:noFill/>
                  </pic:spPr>
                </pic:pic>
              </a:graphicData>
            </a:graphic>
          </wp:anchor>
        </w:drawing>
      </w:r>
    </w:p>
    <w:p>
      <w:pPr>
        <w:spacing w:after="0" w:line="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Jimmy McGinness</w:t>
      </w:r>
    </w:p>
    <w:p>
      <w:pPr>
        <w:spacing w:after="0" w:line="1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Vice President, Controller, and Principal Accounting Officer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8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Gorenstein, certify that:</w:t>
      </w:r>
    </w:p>
    <w:p>
      <w:pPr>
        <w:spacing w:after="0" w:line="257" w:lineRule="exact"/>
        <w:rPr>
          <w:sz w:val="20"/>
          <w:szCs w:val="20"/>
          <w:color w:val="auto"/>
        </w:rPr>
      </w:pPr>
    </w:p>
    <w:p>
      <w:pPr>
        <w:ind w:left="320" w:hanging="314"/>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Cronos Group Inc.;</w:t>
      </w:r>
    </w:p>
    <w:p>
      <w:pPr>
        <w:spacing w:after="0" w:line="111" w:lineRule="exact"/>
        <w:rPr>
          <w:rFonts w:ascii="Times New Roman" w:cs="Times New Roman" w:eastAsia="Times New Roman" w:hAnsi="Times New Roman"/>
          <w:sz w:val="18"/>
          <w:szCs w:val="18"/>
          <w:color w:val="auto"/>
        </w:rPr>
      </w:pPr>
    </w:p>
    <w:p>
      <w:pPr>
        <w:ind w:left="320" w:right="160" w:hanging="314"/>
        <w:spacing w:after="0" w:line="304" w:lineRule="auto"/>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320" w:right="220" w:hanging="314"/>
        <w:spacing w:after="0" w:line="259"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640" w:right="80" w:hanging="316"/>
        <w:spacing w:after="0" w:line="259" w:lineRule="auto"/>
        <w:tabs>
          <w:tab w:leader="none" w:pos="62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640" w:right="60" w:hanging="316"/>
        <w:spacing w:after="0" w:line="259" w:lineRule="auto"/>
        <w:tabs>
          <w:tab w:leader="none" w:pos="6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2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ind w:left="640" w:right="140" w:hanging="316"/>
        <w:spacing w:after="0" w:line="259" w:lineRule="auto"/>
        <w:tabs>
          <w:tab w:leader="none" w:pos="6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right="340" w:hanging="314"/>
        <w:spacing w:after="0" w:line="274"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2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right="80" w:hanging="316"/>
        <w:spacing w:after="0" w:line="268" w:lineRule="auto"/>
        <w:tabs>
          <w:tab w:leader="none" w:pos="6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3079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Michael Gorenstein</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ectPr>
          <w:pgSz w:w="11900" w:h="16838" w:orient="portrait"/>
          <w:cols w:equalWidth="0" w:num="1">
            <w:col w:w="11240"/>
          </w:cols>
          <w:pgMar w:left="320" w:top="104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8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Holm, certify that:</w:t>
      </w:r>
    </w:p>
    <w:p>
      <w:pPr>
        <w:spacing w:after="0" w:line="217" w:lineRule="exact"/>
        <w:rPr>
          <w:sz w:val="20"/>
          <w:szCs w:val="20"/>
          <w:color w:val="auto"/>
        </w:rPr>
      </w:pPr>
    </w:p>
    <w:p>
      <w:pPr>
        <w:ind w:left="320" w:hanging="314"/>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Cronos Group Inc.;</w:t>
      </w:r>
    </w:p>
    <w:p>
      <w:pPr>
        <w:spacing w:after="0" w:line="111" w:lineRule="exact"/>
        <w:rPr>
          <w:rFonts w:ascii="Times New Roman" w:cs="Times New Roman" w:eastAsia="Times New Roman" w:hAnsi="Times New Roman"/>
          <w:sz w:val="18"/>
          <w:szCs w:val="18"/>
          <w:color w:val="auto"/>
        </w:rPr>
      </w:pPr>
    </w:p>
    <w:p>
      <w:pPr>
        <w:ind w:left="320" w:right="160" w:hanging="314"/>
        <w:spacing w:after="0" w:line="304" w:lineRule="auto"/>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320" w:right="220" w:hanging="314"/>
        <w:spacing w:after="0" w:line="259" w:lineRule="auto"/>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sz w:val="20"/>
          <w:szCs w:val="20"/>
          <w:color w:val="auto"/>
        </w:rPr>
      </w:pPr>
    </w:p>
    <w:p>
      <w:pPr>
        <w:ind w:left="640" w:right="60" w:hanging="317"/>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w:t>
      </w:r>
      <w:r>
        <w:rPr>
          <w:sz w:val="20"/>
          <w:szCs w:val="20"/>
          <w:color w:val="auto"/>
        </w:rPr>
        <w:t xml:space="preserve"> </w:t>
      </w:r>
      <w:r>
        <w:rPr>
          <w:rFonts w:ascii="Times New Roman" w:cs="Times New Roman" w:eastAsia="Times New Roman" w:hAnsi="Times New Roman"/>
          <w:sz w:val="18"/>
          <w:szCs w:val="18"/>
          <w:color w:val="auto"/>
        </w:rPr>
        <w:t>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3" w:lineRule="exact"/>
        <w:rPr>
          <w:sz w:val="20"/>
          <w:szCs w:val="20"/>
          <w:color w:val="auto"/>
        </w:rPr>
      </w:pPr>
    </w:p>
    <w:p>
      <w:pPr>
        <w:ind w:left="640" w:right="60" w:hanging="316"/>
        <w:spacing w:after="0" w:line="259" w:lineRule="auto"/>
        <w:tabs>
          <w:tab w:leader="none" w:pos="63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2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ind w:left="640" w:right="140" w:hanging="316"/>
        <w:spacing w:after="0" w:line="259" w:lineRule="auto"/>
        <w:tabs>
          <w:tab w:leader="none" w:pos="63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right="340" w:hanging="314"/>
        <w:spacing w:after="0" w:line="274"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right="80" w:hanging="316"/>
        <w:spacing w:after="0" w:line="268" w:lineRule="auto"/>
        <w:tabs>
          <w:tab w:leader="none" w:pos="63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James 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3079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James Holm</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ectPr>
          <w:pgSz w:w="11900" w:h="16838" w:orient="portrait"/>
          <w:cols w:equalWidth="0" w:num="1">
            <w:col w:w="11240"/>
          </w:cols>
          <w:pgMar w:left="320" w:top="104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30"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0" w:lineRule="exact"/>
        <w:rPr>
          <w:sz w:val="20"/>
          <w:szCs w:val="20"/>
          <w:color w:val="auto"/>
        </w:rPr>
      </w:pPr>
    </w:p>
    <w:p>
      <w:pPr>
        <w:ind w:right="120" w:firstLine="238"/>
        <w:spacing w:after="0" w:line="266"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period ended March 31, 2024 of Cronos Group Inc. (the “Company”) as filed with the U.S. Securities and Exchange Commission (the “SEC”) on the date hereof (the “Report”), I, Michael Gorenstein, President and Chief Executive Officer of the Company, certify, pursuant to 18 U.S.C. Section 1350, as adopted pursuant to Section 906 of the Sarbanes-Oxley Act of 2002, that, to my knowledge:</w:t>
      </w:r>
    </w:p>
    <w:p>
      <w:pPr>
        <w:spacing w:after="0" w:line="225" w:lineRule="exact"/>
        <w:rPr>
          <w:sz w:val="20"/>
          <w:szCs w:val="20"/>
          <w:color w:val="auto"/>
        </w:rPr>
      </w:pPr>
    </w:p>
    <w:p>
      <w:pPr>
        <w:ind w:left="320" w:right="260" w:hanging="314"/>
        <w:spacing w:after="0" w:line="274" w:lineRule="auto"/>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as amended; and</w:t>
      </w:r>
    </w:p>
    <w:p>
      <w:pPr>
        <w:spacing w:after="0" w:line="29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14605</wp:posOffset>
            </wp:positionV>
            <wp:extent cx="26504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650490" cy="82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Michael Gorenstein</w:t>
      </w:r>
    </w:p>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35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7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92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7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30"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0" w:lineRule="exact"/>
        <w:rPr>
          <w:sz w:val="20"/>
          <w:szCs w:val="20"/>
          <w:color w:val="auto"/>
        </w:rPr>
      </w:pPr>
    </w:p>
    <w:p>
      <w:pPr>
        <w:jc w:val="both"/>
        <w:ind w:right="40" w:firstLine="238"/>
        <w:spacing w:after="0" w:line="244"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2024 of Cronos Group Inc. (the “Company”) as filed with the U.S. Securities and Exchange Commission (the “SEC”) on the date hereof (the “Report”), I, James Holm, Chief Financial Officer of the Company, certify, pursuant to 18 U.S.C. Section 1350, as adopted pursuant to Section 906 of the Sarbanes-Oxley Act of 2002, that, to my knowledge:</w:t>
      </w:r>
    </w:p>
    <w:p>
      <w:pPr>
        <w:spacing w:after="0" w:line="243" w:lineRule="exact"/>
        <w:rPr>
          <w:sz w:val="20"/>
          <w:szCs w:val="20"/>
          <w:color w:val="auto"/>
        </w:rPr>
      </w:pPr>
    </w:p>
    <w:p>
      <w:pPr>
        <w:ind w:left="320" w:right="260" w:hanging="314"/>
        <w:spacing w:after="0" w:line="274"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as amended; and</w:t>
      </w:r>
    </w:p>
    <w:p>
      <w:pPr>
        <w:spacing w:after="0" w:line="29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James 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14605</wp:posOffset>
            </wp:positionV>
            <wp:extent cx="26504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650490" cy="82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James Holm</w:t>
      </w:r>
    </w:p>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4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7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Letter"/>
      <w:start w:val="2"/>
    </w:lvl>
  </w:abstractNum>
  <w:abstractNum w:abstractNumId="4">
    <w:nsid w:val="6763845E"/>
    <w:multiLevelType w:val="hybridMultilevel"/>
    <w:lvl w:ilvl="0">
      <w:lvlJc w:val="left"/>
      <w:lvlText w:val="(%1)"/>
      <w:numFmt w:val="lowerLetter"/>
      <w:start w:val="3"/>
    </w:lvl>
  </w:abstractNum>
  <w:abstractNum w:abstractNumId="5">
    <w:nsid w:val="75A2A8D4"/>
    <w:multiLevelType w:val="hybridMultilevel"/>
    <w:lvl w:ilvl="0">
      <w:lvlJc w:val="left"/>
      <w:lvlText w:val="(%1)"/>
      <w:numFmt w:val="lowerLetter"/>
      <w:start w:val="4"/>
    </w:lvl>
  </w:abstractNum>
  <w:abstractNum w:abstractNumId="6">
    <w:nsid w:val="8EDBDAB"/>
    <w:multiLevelType w:val="hybridMultilevel"/>
    <w:lvl w:ilvl="0">
      <w:lvlJc w:val="left"/>
      <w:lvlText w:val="(%1)"/>
      <w:numFmt w:val="lowerLetter"/>
      <w:start w:val="6"/>
    </w:lvl>
  </w:abstractNum>
  <w:abstractNum w:abstractNumId="7">
    <w:nsid w:val="79838CB2"/>
    <w:multiLevelType w:val="hybridMultilevel"/>
    <w:lvl w:ilvl="0">
      <w:lvlJc w:val="left"/>
      <w:lvlText w:val="(%1)"/>
      <w:numFmt w:val="lowerLetter"/>
      <w:start w:val="7"/>
    </w:lvl>
  </w:abstractNum>
  <w:abstractNum w:abstractNumId="8">
    <w:nsid w:val="4353D0CD"/>
    <w:multiLevelType w:val="hybridMultilevel"/>
    <w:lvl w:ilvl="0">
      <w:lvlJc w:val="left"/>
      <w:lvlText w:val="(%1)"/>
      <w:numFmt w:val="lowerLetter"/>
      <w:start w:val="8"/>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2"/>
    </w:lvl>
  </w:abstractNum>
  <w:abstractNum w:abstractNumId="11">
    <w:nsid w:val="54E49EB4"/>
    <w:multiLevelType w:val="hybridMultilevel"/>
    <w:lvl w:ilvl="0">
      <w:lvlJc w:val="left"/>
      <w:lvlText w:val="(%1)"/>
      <w:numFmt w:val="lowerRoman"/>
      <w:start w:val="1"/>
    </w:lvl>
    <w:lvl w:ilvl="1">
      <w:lvlJc w:val="left"/>
      <w:lvlText w:val="%2."/>
      <w:numFmt w:val="decimal"/>
      <w:start w:val="6"/>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2"/>
    </w:lvl>
  </w:abstractNum>
  <w:abstractNum w:abstractNumId="14">
    <w:nsid w:val="836C40E"/>
    <w:multiLevelType w:val="hybridMultilevel"/>
    <w:lvl w:ilvl="0">
      <w:lvlJc w:val="left"/>
      <w:lvlText w:val="(%1)"/>
      <w:numFmt w:val="lowerRoman"/>
      <w:start w:val="1"/>
    </w:lvl>
  </w:abstractNum>
  <w:abstractNum w:abstractNumId="15">
    <w:nsid w:val="2901D82"/>
    <w:multiLevelType w:val="hybridMultilevel"/>
    <w:lvl w:ilvl="0">
      <w:lvlJc w:val="left"/>
      <w:lvlText w:val="(%1)"/>
      <w:numFmt w:val="lowerLetter"/>
      <w:start w:val="3"/>
    </w:lvl>
  </w:abstractNum>
  <w:abstractNum w:abstractNumId="16">
    <w:nsid w:val="3A95F874"/>
    <w:multiLevelType w:val="hybridMultilevel"/>
    <w:lvl w:ilvl="0">
      <w:lvlJc w:val="left"/>
      <w:lvlText w:val="(%1)"/>
      <w:numFmt w:val="lowerRoman"/>
      <w:start w:val="1"/>
    </w:lvl>
  </w:abstractNum>
  <w:abstractNum w:abstractNumId="17">
    <w:nsid w:val="8138641"/>
    <w:multiLevelType w:val="hybridMultilevel"/>
    <w:lvl w:ilvl="0">
      <w:lvlJc w:val="left"/>
      <w:lvlText w:val="(%1)"/>
      <w:numFmt w:val="lowerLetter"/>
      <w:start w:val="4"/>
    </w:lvl>
  </w:abstractNum>
  <w:abstractNum w:abstractNumId="18">
    <w:nsid w:val="1E7FF521"/>
    <w:multiLevelType w:val="hybridMultilevel"/>
    <w:lvl w:ilvl="0">
      <w:lvlJc w:val="left"/>
      <w:lvlText w:val="(%1)"/>
      <w:numFmt w:val="lowerRoman"/>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2"/>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lowerRoman"/>
      <w:start w:val="1"/>
    </w:lvl>
  </w:abstractNum>
  <w:abstractNum w:abstractNumId="23">
    <w:nsid w:val="4516DDE9"/>
    <w:multiLevelType w:val="hybridMultilevel"/>
    <w:lvl w:ilvl="0">
      <w:lvlJc w:val="left"/>
      <w:lvlText w:val="(%1)"/>
      <w:numFmt w:val="lowerRoman"/>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lowerLetter"/>
      <w:start w:val="2"/>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lowerRoman"/>
      <w:start w:val="1"/>
    </w:lvl>
  </w:abstractNum>
  <w:abstractNum w:abstractNumId="31">
    <w:nsid w:val="77465F01"/>
    <w:multiLevelType w:val="hybridMultilevel"/>
    <w:lvl w:ilvl="0">
      <w:lvlJc w:val="left"/>
      <w:lvlText w:val="(%1)"/>
      <w:numFmt w:val="lowerRoman"/>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2"/>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2"/>
    </w:lvl>
  </w:abstractNum>
  <w:abstractNum w:abstractNumId="39">
    <w:nsid w:val="153EA438"/>
    <w:multiLevelType w:val="hybridMultilevel"/>
    <w:lvl w:ilvl="0">
      <w:lvlJc w:val="left"/>
      <w:lvlText w:val="%1."/>
      <w:numFmt w:val="decimal"/>
      <w:start w:val="5"/>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6" Type="http://schemas.openxmlformats.org/officeDocument/2006/relationships/hyperlink" Target="https://www.sec.gov/Archives/edgar/data/1656472/000165647220000073/exhibit31q2.htm" TargetMode="External"/><Relationship Id="rId57" Type="http://schemas.openxmlformats.org/officeDocument/2006/relationships/hyperlink" Target="https://www.sec.gov/Archives/edgar/data/1656472/000165647224000054/exhibt101-cronosxaltriav.htm" TargetMode="External"/><Relationship Id="rId58" Type="http://schemas.openxmlformats.org/officeDocument/2006/relationships/hyperlink" Target="https://www.sec.gov/ix?doc=/Archives/edgar/data/1656472/000165647224000052/cron-202404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2024-05-09T06:42:27Z</dcterms:created>
  <dcterms:modified xsi:type="dcterms:W3CDTF">2024-05-09T06:42:27Z</dcterms:modified>
</cp:coreProperties>
</file>