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f-form4_168435446641990.xml.htm"/>
      <w:bookmarkStart w:id="1" w:name="kswfform4_1684354466419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ADLER JASON MARC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 PETER STREET, SUITE 300</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TORONTO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A6</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M5V 2H1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Cronos Group Inc.</w:t>
              </w:r>
            </w:hyperlink>
            <w:r>
              <w:rPr/>
              <w:t xml:space="preserve"> [ </w:t>
            </w:r>
            <w:r>
              <w:rPr>
                <w:rFonts w:ascii="Times;serif" w:hAnsi="Times;serif"/>
                <w:color w:val="0000FF"/>
                <w:sz w:val="24"/>
                <w:shd w:fill="FFFFFF" w:val="clear"/>
              </w:rPr>
              <w:t>CRON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7"/>
        <w:gridCol w:w="899"/>
        <w:gridCol w:w="771"/>
        <w:gridCol w:w="597"/>
        <w:gridCol w:w="337"/>
        <w:gridCol w:w="899"/>
        <w:gridCol w:w="423"/>
        <w:gridCol w:w="876"/>
        <w:gridCol w:w="1236"/>
        <w:gridCol w:w="957"/>
        <w:gridCol w:w="96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1.7556</w:t>
            </w:r>
            <w:r>
              <w:rPr>
                <w:rFonts w:ascii="Times;serif" w:hAnsi="Times;serif"/>
                <w:color w:val="008000"/>
                <w:position w:val="7"/>
                <w:sz w:val="16"/>
                <w:sz w:val="20"/>
                <w:shd w:fill="FFFFFF" w:val="clear"/>
              </w:rPr>
              <w:t>(1)</w:t>
            </w:r>
            <w:r>
              <w:rPr/>
              <w:t xml:space="preserve"> </w:t>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1,063,288</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r>
              <w:rPr/>
              <w:t xml:space="preserve"> </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Gotham Green Fund III (Q), LP</w:t>
            </w:r>
          </w:p>
        </w:tc>
      </w:tr>
      <w:tr>
        <w:trPr/>
        <w:tc>
          <w:tcPr>
            <w:tcW w:w="22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1.7556</w:t>
            </w:r>
            <w:r>
              <w:rPr>
                <w:rFonts w:ascii="Times;serif" w:hAnsi="Times;serif"/>
                <w:color w:val="008000"/>
                <w:position w:val="7"/>
                <w:sz w:val="16"/>
                <w:sz w:val="20"/>
                <w:shd w:fill="FFFFFF" w:val="clear"/>
              </w:rPr>
              <w:t>(1)</w:t>
            </w:r>
            <w:r>
              <w:rPr/>
              <w:t xml:space="preserve"> </w:t>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455,712</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r>
              <w:rPr/>
              <w:t xml:space="preserve"> </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Gotham Green Fund III, LP</w:t>
            </w:r>
          </w:p>
        </w:tc>
      </w:tr>
      <w:tr>
        <w:trPr/>
        <w:tc>
          <w:tcPr>
            <w:tcW w:w="22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05/16/2023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53,269</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1.7176</w:t>
            </w:r>
            <w:r>
              <w:rPr>
                <w:rFonts w:ascii="Times;serif" w:hAnsi="Times;serif"/>
                <w:color w:val="008000"/>
                <w:position w:val="7"/>
                <w:sz w:val="16"/>
                <w:sz w:val="20"/>
                <w:shd w:fill="FFFFFF" w:val="clear"/>
              </w:rPr>
              <w:t>(4)</w:t>
            </w:r>
            <w:r>
              <w:rPr/>
              <w:t xml:space="preserve"> </w:t>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1,116,557</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r>
              <w:rPr/>
              <w:t xml:space="preserve"> </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Gotham Green Fund III (Q), LP</w:t>
            </w:r>
          </w:p>
        </w:tc>
      </w:tr>
      <w:tr>
        <w:trPr/>
        <w:tc>
          <w:tcPr>
            <w:tcW w:w="22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05/16/2023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22,831</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1.7176</w:t>
            </w:r>
            <w:r>
              <w:rPr>
                <w:rFonts w:ascii="Times;serif" w:hAnsi="Times;serif"/>
                <w:color w:val="008000"/>
                <w:position w:val="7"/>
                <w:sz w:val="16"/>
                <w:sz w:val="20"/>
                <w:shd w:fill="FFFFFF" w:val="clear"/>
              </w:rPr>
              <w:t>(4)</w:t>
            </w:r>
            <w:r>
              <w:rPr/>
              <w:t xml:space="preserve"> </w:t>
            </w:r>
          </w:p>
        </w:tc>
        <w:tc>
          <w:tcPr>
            <w:tcW w:w="12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478,543</w:t>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r>
              <w:rPr/>
              <w:t xml:space="preserve"> </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Gotham Green Fund III, LP</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ranging from $1.745 to $1.77. The reporting person undertakes to provide to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Gotham Green GP III, LLC is the general partner of Gotham Green Fund III (Q), LP. Mr. Adler, as the Managing Member of Gotham Green GP III, LLC, may be deemed to be the indirect beneficial owner of such shares for purposes of Section 16 of the Exchange Act. Mr. Adler disclaims that he is the beneficial owner of such shares, except to the extent of his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Gotham Green GP III, LLC is the general partner of Gotham Green Fund III, LP. Mr. Adler, as the Managing Member of Gotham Green GP III, LLC, may be deemed to be the indirect beneficial owner of such shares for purposes of Section 16 of the Exchange Act. Mr. Adler disclaims that he is the beneficial owner of such shares, except to the extent of his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ranging from $1.69 to $1.74. The reporting person undertakes to provide to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Werner, as attorney-in-fact for Jason M. Adler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96212" TargetMode="External"/><Relationship Id="rId4" Type="http://schemas.openxmlformats.org/officeDocument/2006/relationships/hyperlink" Target="http://www.sec.gov/cgi-bin/browse-edgar?action=getcompany&amp;CIK=000165647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892</Words>
  <Characters>4624</Characters>
  <CharactersWithSpaces>5431</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