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pPr>
      <w:r>
        <w:rPr>
          <w:color w:val="000000"/>
        </w:rPr>
        <w:t xml:space="preserve">☒ </w:t>
      </w:r>
      <w:r>
        <w:rPr>
          <w:rFonts w:ascii="Times New Roman;serif" w:hAnsi="Times New Roman;serif"/>
          <w:b/>
          <w:color w:val="000000"/>
          <w:sz w:val="24"/>
        </w:rPr>
        <w:t xml:space="preserve">QUARTERLY REPORT PURSUANT TO SECTION 13 OR 15(d) OF THE SECURITIES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720"/>
        <w:jc w:val="left"/>
        <w:rPr/>
      </w:pPr>
      <w:r>
        <w:rPr>
          <w:color w:val="000000"/>
        </w:rPr>
        <w:t>☐    </w:t>
      </w:r>
      <w:r>
        <w:rPr>
          <w:rFonts w:ascii="Times New Roman;serif" w:hAnsi="Times New Roman;serif"/>
          <w:b/>
          <w:color w:val="000000"/>
          <w:sz w:val="24"/>
        </w:rPr>
        <w:t>TRANSITION REPORT PURSUANT TO SECTION 13 OR 15(d) OF THE SECURITIES EXCHANGE ACT OF 1934</w:t>
      </w:r>
    </w:p>
    <w:p>
      <w:pPr>
        <w:pStyle w:val="TextBody"/>
        <w:bidi w:val="0"/>
        <w:spacing w:before="0" w:after="0"/>
        <w:ind w:left="0" w:right="0" w:hanging="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No. 001-38403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CRONOS GROUP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000" w:type="dxa"/>
        <w:jc w:val="center"/>
        <w:tblInd w:w="0" w:type="dxa"/>
        <w:tblLayout w:type="fixed"/>
        <w:tblCellMar>
          <w:top w:w="28" w:type="dxa"/>
          <w:left w:w="28" w:type="dxa"/>
          <w:bottom w:w="28" w:type="dxa"/>
          <w:right w:w="28" w:type="dxa"/>
        </w:tblCellMar>
      </w:tblPr>
      <w:tblGrid>
        <w:gridCol w:w="879"/>
        <w:gridCol w:w="772"/>
        <w:gridCol w:w="778"/>
        <w:gridCol w:w="109"/>
        <w:gridCol w:w="109"/>
        <w:gridCol w:w="109"/>
        <w:gridCol w:w="363"/>
        <w:gridCol w:w="363"/>
        <w:gridCol w:w="518"/>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4491 Concession Rd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Stayner,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L0M 1S0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416-504-0004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tbl>
      <w:tblPr>
        <w:tblW w:w="18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5"/>
        <w:gridCol w:w="145"/>
        <w:gridCol w:w="145"/>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397" w:type="dxa"/>
        <w:jc w:val="center"/>
        <w:tblInd w:w="0" w:type="dxa"/>
        <w:tblLayout w:type="fixed"/>
        <w:tblCellMar>
          <w:top w:w="28" w:type="dxa"/>
          <w:left w:w="28" w:type="dxa"/>
          <w:bottom w:w="28" w:type="dxa"/>
          <w:right w:w="28" w:type="dxa"/>
        </w:tblCellMar>
      </w:tblPr>
      <w:tblGrid>
        <w:gridCol w:w="655"/>
        <w:gridCol w:w="577"/>
        <w:gridCol w:w="582"/>
        <w:gridCol w:w="109"/>
        <w:gridCol w:w="109"/>
        <w:gridCol w:w="109"/>
        <w:gridCol w:w="409"/>
        <w:gridCol w:w="409"/>
        <w:gridCol w:w="411"/>
        <w:gridCol w:w="109"/>
        <w:gridCol w:w="109"/>
        <w:gridCol w:w="109"/>
        <w:gridCol w:w="791"/>
        <w:gridCol w:w="791"/>
        <w:gridCol w:w="1118"/>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4"/>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Times New Roman;serif" w:hAnsi="Times New Roman;serif"/>
          <w:b w:val="false"/>
          <w:color w:val="000000"/>
          <w:sz w:val="14"/>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Times New Roman;serif" w:hAnsi="Times New Roman;serif"/>
          <w:b w:val="false"/>
          <w:color w:val="000000"/>
          <w:sz w:val="14"/>
        </w:rPr>
        <w:t xml:space="preserve">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055"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4"/>
        </w:rPr>
        <w:t>Indicate by check mark whether the registrant is a shell company (as defined in Rule 12b-2 of the Exchange Act).</w:t>
      </w:r>
      <w:r>
        <w:rPr>
          <w:color w:val="000000"/>
        </w:rPr>
        <w:t>    </w:t>
      </w:r>
      <w:r>
        <w:rPr>
          <w:rFonts w:ascii="Times New Roman;serif" w:hAnsi="Times New Roman;serif"/>
          <w:b w:val="false"/>
          <w:color w:val="000000"/>
          <w:sz w:val="14"/>
        </w:rPr>
        <w:t xml:space="preserve">Yes </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6"/>
        </w:rPr>
        <w:t>x</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As of August 3, 2026, there were 368,412,864 common shares of the registrant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9012" w:type="dxa"/>
        <w:jc w:val="left"/>
        <w:tblInd w:w="0" w:type="dxa"/>
        <w:tblLayout w:type="fixed"/>
        <w:tblCellMar>
          <w:top w:w="28" w:type="dxa"/>
          <w:left w:w="28" w:type="dxa"/>
          <w:bottom w:w="28" w:type="dxa"/>
          <w:right w:w="28" w:type="dxa"/>
        </w:tblCellMar>
      </w:tblPr>
      <w:tblGrid>
        <w:gridCol w:w="293"/>
        <w:gridCol w:w="258"/>
        <w:gridCol w:w="259"/>
        <w:gridCol w:w="384"/>
        <w:gridCol w:w="384"/>
        <w:gridCol w:w="386"/>
        <w:gridCol w:w="1979"/>
        <w:gridCol w:w="1979"/>
        <w:gridCol w:w="1986"/>
        <w:gridCol w:w="244"/>
        <w:gridCol w:w="244"/>
        <w:gridCol w:w="244"/>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FINANCIAL INFORMATION</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3">
              <w:r>
                <w:rPr>
                  <w:rStyle w:val="InternetLink"/>
                  <w:rFonts w:ascii="Times New Roman;serif" w:hAnsi="Times New Roman;serif"/>
                  <w:b w:val="false"/>
                  <w:color w:val="0000FF"/>
                  <w:sz w:val="20"/>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3">
              <w:r>
                <w:rPr>
                  <w:rStyle w:val="InternetLink"/>
                  <w:rFonts w:ascii="Times New Roman;serif" w:hAnsi="Times New Roman;serif"/>
                  <w:b w:val="false"/>
                  <w:strike w:val="false"/>
                  <w:dstrike w:val="false"/>
                  <w:color w:val="0E32E1"/>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49ea29643dab47a5a5e934e5a9125e98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88">
              <w:r>
                <w:rPr>
                  <w:rStyle w:val="InternetLink"/>
                  <w:rFonts w:ascii="Times New Roman;serif" w:hAnsi="Times New Roman;serif"/>
                  <w:b w:val="false"/>
                  <w:strike w:val="false"/>
                  <w:dstrike w:val="false"/>
                  <w:color w:val="0E32E1"/>
                  <w:sz w:val="20"/>
                  <w:u w:val="none"/>
                  <w:effect w:val="none"/>
                </w:rPr>
                <w:t>30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49ea29643dab47a5a5e934e5a9125e98_112">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12">
              <w:r>
                <w:rPr>
                  <w:rStyle w:val="InternetLink"/>
                  <w:rFonts w:ascii="Times New Roman;serif" w:hAnsi="Times New Roman;serif"/>
                  <w:b w:val="false"/>
                  <w:strike w:val="false"/>
                  <w:dstrike w:val="false"/>
                  <w:color w:val="0E32E1"/>
                  <w:sz w:val="20"/>
                  <w:u w:val="none"/>
                  <w:effect w:val="none"/>
                </w:rPr>
                <w:t>47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49ea29643dab47a5a5e934e5a9125e98_118">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18">
              <w:r>
                <w:rPr>
                  <w:rStyle w:val="InternetLink"/>
                  <w:rFonts w:ascii="Times New Roman;serif" w:hAnsi="Times New Roman;serif"/>
                  <w:b w:val="false"/>
                  <w:strike w:val="false"/>
                  <w:dstrike w:val="false"/>
                  <w:color w:val="0E32E1"/>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INFORMATION</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49ea29643dab47a5a5e934e5a9125e98_124">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24">
              <w:r>
                <w:rPr>
                  <w:rStyle w:val="InternetLink"/>
                  <w:rFonts w:ascii="Times New Roman;serif" w:hAnsi="Times New Roman;serif"/>
                  <w:b w:val="false"/>
                  <w:strike w:val="false"/>
                  <w:dstrike w:val="false"/>
                  <w:color w:val="0E32E1"/>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27">
              <w:r>
                <w:rPr>
                  <w:rStyle w:val="InternetLink"/>
                  <w:rFonts w:ascii="Times New Roman;serif" w:hAnsi="Times New Roman;serif"/>
                  <w:b w:val="false"/>
                  <w:color w:val="0000FF"/>
                  <w:sz w:val="20"/>
                  <w:u w:val="single"/>
                </w:rPr>
                <w:t>Risk Factors.</w:t>
              </w:r>
            </w:hyperlink>
          </w:p>
        </w:tc>
        <w:tc>
          <w:tcPr>
            <w:tcW w:w="5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27">
              <w:r>
                <w:rPr>
                  <w:rStyle w:val="InternetLink"/>
                  <w:rFonts w:ascii="Times New Roman;serif" w:hAnsi="Times New Roman;serif"/>
                  <w:b w:val="false"/>
                  <w:strike w:val="false"/>
                  <w:dstrike w:val="false"/>
                  <w:color w:val="0E32E1"/>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9"/>
            <w:tcBorders/>
            <w:tcMar>
              <w:top w:w="0" w:type="dxa"/>
              <w:left w:w="0" w:type="dxa"/>
              <w:bottom w:w="0" w:type="dxa"/>
              <w:right w:w="0" w:type="dxa"/>
            </w:tcMar>
            <w:vAlign w:val="center"/>
          </w:tcPr>
          <w:p>
            <w:pPr>
              <w:pStyle w:val="TableContents"/>
              <w:bidi w:val="0"/>
              <w:spacing w:lineRule="auto" w:line="240" w:before="240" w:after="283"/>
              <w:jc w:val="left"/>
              <w:rPr/>
            </w:pPr>
            <w:hyperlink w:anchor="i49ea29643dab47a5a5e934e5a9125e98_130">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30">
              <w:r>
                <w:rPr>
                  <w:rStyle w:val="InternetLink"/>
                  <w:rFonts w:ascii="Times New Roman;serif" w:hAnsi="Times New Roman;serif"/>
                  <w:b w:val="false"/>
                  <w:strike w:val="false"/>
                  <w:dstrike w:val="false"/>
                  <w:color w:val="0E32E1"/>
                  <w:sz w:val="20"/>
                  <w:u w:val="none"/>
                  <w:effect w:val="none"/>
                </w:rPr>
                <w:t>49</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33">
              <w:r>
                <w:rPr>
                  <w:rStyle w:val="InternetLink"/>
                  <w:rFonts w:ascii="Times New Roman;serif" w:hAnsi="Times New Roman;serif"/>
                  <w:b w:val="false"/>
                  <w:color w:val="000080"/>
                  <w:sz w:val="20"/>
                  <w:u w:val="single"/>
                </w:rPr>
                <w:t xml:space="preserve">Defaults </w:t>
              </w:r>
            </w:hyperlink>
            <w:hyperlink w:anchor="i49ea29643dab47a5a5e934e5a9125e98_133">
              <w:r>
                <w:rPr>
                  <w:rStyle w:val="InternetLink"/>
                  <w:rFonts w:ascii="Times New Roman;serif" w:hAnsi="Times New Roman;serif"/>
                  <w:b w:val="false"/>
                  <w:color w:val="000080"/>
                  <w:sz w:val="20"/>
                  <w:u w:val="single"/>
                </w:rPr>
                <w:t>U</w:t>
              </w:r>
            </w:hyperlink>
            <w:hyperlink w:anchor="i49ea29643dab47a5a5e934e5a9125e98_133">
              <w:r>
                <w:rPr>
                  <w:rStyle w:val="InternetLink"/>
                  <w:rFonts w:ascii="Times New Roman;serif" w:hAnsi="Times New Roman;serif"/>
                  <w:b w:val="false"/>
                  <w:color w:val="000080"/>
                  <w:sz w:val="20"/>
                  <w:u w:val="single"/>
                </w:rPr>
                <w:t>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33">
              <w:r>
                <w:rPr>
                  <w:rStyle w:val="InternetLink"/>
                  <w:rFonts w:ascii="Times New Roman;serif" w:hAnsi="Times New Roman;serif"/>
                  <w:b w:val="false"/>
                  <w:strike w:val="false"/>
                  <w:dstrike w:val="false"/>
                  <w:color w:val="0E32E1"/>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49ea29643dab47a5a5e934e5a9125e98_136">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36">
              <w:r>
                <w:rPr>
                  <w:rStyle w:val="InternetLink"/>
                  <w:rFonts w:ascii="Times New Roman;serif" w:hAnsi="Times New Roman;serif"/>
                  <w:b w:val="false"/>
                  <w:strike w:val="false"/>
                  <w:dstrike w:val="false"/>
                  <w:color w:val="0E32E1"/>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39">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39">
              <w:r>
                <w:rPr>
                  <w:rStyle w:val="InternetLink"/>
                  <w:rFonts w:ascii="Times New Roman;serif" w:hAnsi="Times New Roman;serif"/>
                  <w:b w:val="false"/>
                  <w:strike w:val="false"/>
                  <w:dstrike w:val="false"/>
                  <w:color w:val="0E32E1"/>
                  <w:sz w:val="20"/>
                  <w:u w:val="none"/>
                  <w:effect w:val="none"/>
                </w:rPr>
                <w:t>50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45">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45">
              <w:r>
                <w:rPr>
                  <w:rStyle w:val="InternetLink"/>
                  <w:rFonts w:ascii="Times New Roman;serif" w:hAnsi="Times New Roman;serif"/>
                  <w:b w:val="false"/>
                  <w:strike w:val="false"/>
                  <w:dstrike w:val="false"/>
                  <w:color w:val="0E32E1"/>
                  <w:sz w:val="20"/>
                  <w:u w:val="none"/>
                  <w:effect w:val="none"/>
                </w:rPr>
                <w:t>50</w:t>
              </w:r>
            </w:hyperlink>
          </w:p>
        </w:tc>
      </w:tr>
    </w:tbl>
    <w:p>
      <w:pPr>
        <w:pStyle w:val="TextBody"/>
        <w:bidi w:val="0"/>
        <w:spacing w:lineRule="auto" w:line="268" w:before="0" w:after="0"/>
        <w:jc w:val="both"/>
        <w:rPr/>
      </w:pPr>
      <w:r>
        <w:rPr>
          <w:rFonts w:ascii="Times New Roman;serif" w:hAnsi="Times New Roman;serif"/>
          <w:b w:val="false"/>
          <w:color w:val="000000"/>
          <w:sz w:val="20"/>
        </w:rPr>
        <w:t xml:space="preserve">Unless otherwise noted or the context indicates otherwise, references in this Quarterly Report on Form 10-Q (this “Quarterly Report”) to the “Company,” “Cronos Group,” “we,” “us” and “our” refer to Cronos Group Inc., its direct and indirect wholly owned subsidiaries and, if applicable, its joint ventures and investments accounted for by the equity method; the term “cannabis” means the plant of any species or subspecies of genus </w:t>
      </w:r>
      <w:r>
        <w:rPr>
          <w:rFonts w:ascii="Times New Roman;serif" w:hAnsi="Times New Roman;serif"/>
          <w:b w:val="false"/>
          <w:i/>
          <w:color w:val="000000"/>
          <w:sz w:val="20"/>
        </w:rPr>
        <w:t>Cannabis</w:t>
      </w:r>
      <w:r>
        <w:rPr>
          <w:color w:val="000000"/>
        </w:rPr>
        <w:t xml:space="preserve"> </w:t>
      </w:r>
      <w:r>
        <w:rPr>
          <w:rFonts w:ascii="Times New Roman;serif" w:hAnsi="Times New Roman;serif"/>
          <w:b w:val="false"/>
          <w:color w:val="000000"/>
          <w:sz w:val="20"/>
        </w:rPr>
        <w:t>and any part of that plant, including all derivatives, extracts, cannabinoids, isomers, acids, salts, and salts of isomers; the term “U.S. hemp” has the meaning given to the term “hemp” in the United States (“U.S.”) Agricultural Improvement Act of 2018 (the “2018 Farm Bill”), as amended by section 781 of Public Law 119-37 (effective November 12, 2026), including hemp-derived cannabidiol (“CBD”); and the term “U.S. Schedule I cannabis” means cannabis excluding U.S. hemp.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references to our trademarks and trade names and to trademarks and trade names belonging to other entities. Solely for convenience, trademarks and trade names referred to in this Quarterly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or our business by, any other companies. In addition, this Quarterly Report includes website addresses. These website addresses are intended to provide inactive, textual references only. The information on or referred to on these websites is not part of or incorporated into this Quarterly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currency amounts in this Quarterly Report are stated in U.S. dollars, which is our reporting currency, unless otherwise noted. All references to “dollars” or “$” are to U.S. dollars; all references to “C$” are to Canadian dollars; and all references to “ILS” are to New Israeli Shekels.</w:t>
      </w:r>
    </w:p>
    <w:tbl>
      <w:tblPr>
        <w:tblW w:w="7341" w:type="dxa"/>
        <w:jc w:val="left"/>
        <w:tblInd w:w="0" w:type="dxa"/>
        <w:tblLayout w:type="fixed"/>
        <w:tblCellMar>
          <w:top w:w="28" w:type="dxa"/>
          <w:left w:w="28" w:type="dxa"/>
          <w:bottom w:w="28" w:type="dxa"/>
          <w:right w:w="28" w:type="dxa"/>
        </w:tblCellMar>
      </w:tblPr>
      <w:tblGrid>
        <w:gridCol w:w="1047"/>
        <w:gridCol w:w="921"/>
        <w:gridCol w:w="927"/>
        <w:gridCol w:w="374"/>
        <w:gridCol w:w="374"/>
        <w:gridCol w:w="376"/>
        <w:gridCol w:w="109"/>
        <w:gridCol w:w="109"/>
        <w:gridCol w:w="109"/>
        <w:gridCol w:w="374"/>
        <w:gridCol w:w="374"/>
        <w:gridCol w:w="376"/>
        <w:gridCol w:w="109"/>
        <w:gridCol w:w="109"/>
        <w:gridCol w:w="109"/>
        <w:gridCol w:w="452"/>
        <w:gridCol w:w="452"/>
        <w:gridCol w:w="640"/>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C$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tbl>
      <w:tblPr>
        <w:tblW w:w="7386" w:type="dxa"/>
        <w:jc w:val="left"/>
        <w:tblInd w:w="0" w:type="dxa"/>
        <w:tblLayout w:type="fixed"/>
        <w:tblCellMar>
          <w:top w:w="28" w:type="dxa"/>
          <w:left w:w="28" w:type="dxa"/>
          <w:bottom w:w="28" w:type="dxa"/>
          <w:right w:w="28" w:type="dxa"/>
        </w:tblCellMar>
      </w:tblPr>
      <w:tblGrid>
        <w:gridCol w:w="1063"/>
        <w:gridCol w:w="935"/>
        <w:gridCol w:w="942"/>
        <w:gridCol w:w="374"/>
        <w:gridCol w:w="374"/>
        <w:gridCol w:w="376"/>
        <w:gridCol w:w="109"/>
        <w:gridCol w:w="109"/>
        <w:gridCol w:w="109"/>
        <w:gridCol w:w="374"/>
        <w:gridCol w:w="374"/>
        <w:gridCol w:w="376"/>
        <w:gridCol w:w="109"/>
        <w:gridCol w:w="109"/>
        <w:gridCol w:w="109"/>
        <w:gridCol w:w="452"/>
        <w:gridCol w:w="452"/>
        <w:gridCol w:w="640"/>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ILS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summaries of agreements described herein are qualified by the full text of such agreements (certain of which have been filed as exhibits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br/>
        <w:t>FINANCIAL INFORMATION</w:t>
      </w:r>
    </w:p>
    <w:p>
      <w:pPr>
        <w:pStyle w:val="TextBody"/>
        <w:bidi w:val="0"/>
        <w:spacing w:lineRule="auto" w:line="288" w:before="120" w:after="12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3474"/>
        <w:gridCol w:w="2996"/>
        <w:gridCol w:w="3003"/>
        <w:gridCol w:w="212"/>
        <w:gridCol w:w="212"/>
        <w:gridCol w:w="308"/>
      </w:tblGrid>
      <w:tr>
        <w:trPr/>
        <w:tc>
          <w:tcPr>
            <w:tcW w:w="3474"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16">
              <w:r>
                <w:rPr>
                  <w:rStyle w:val="InternetLink"/>
                  <w:rFonts w:ascii="Times New Roman;serif" w:hAnsi="Times New Roman;serif"/>
                  <w:b w:val="false"/>
                  <w:color w:val="000080"/>
                  <w:sz w:val="20"/>
                  <w:u w:val="single"/>
                </w:rPr>
                <w:t xml:space="preserve">Condensed Consolidated Balance Sheets as of </w:t>
              </w:r>
            </w:hyperlink>
            <w:hyperlink w:anchor="i49ea29643dab47a5a5e934e5a9125e98_16">
              <w:r>
                <w:rPr>
                  <w:rStyle w:val="InternetLink"/>
                  <w:rFonts w:ascii="Times New Roman;serif" w:hAnsi="Times New Roman;serif"/>
                  <w:b w:val="false"/>
                  <w:color w:val="000080"/>
                  <w:sz w:val="20"/>
                  <w:u w:val="single"/>
                </w:rPr>
                <w:t>June 30</w:t>
              </w:r>
            </w:hyperlink>
            <w:hyperlink w:anchor="i49ea29643dab47a5a5e934e5a9125e98_16">
              <w:r>
                <w:rPr>
                  <w:rStyle w:val="InternetLink"/>
                  <w:rFonts w:ascii="Times New Roman;serif" w:hAnsi="Times New Roman;serif"/>
                  <w:b w:val="false"/>
                  <w:color w:val="000080"/>
                  <w:sz w:val="20"/>
                  <w:u w:val="single"/>
                </w:rPr>
                <w:t>, 2026</w:t>
              </w:r>
            </w:hyperlink>
            <w:hyperlink w:anchor="i49ea29643dab47a5a5e934e5a9125e98_16">
              <w:r>
                <w:rPr>
                  <w:rStyle w:val="InternetLink"/>
                  <w:rFonts w:ascii="Times New Roman;serif" w:hAnsi="Times New Roman;serif"/>
                  <w:b w:val="false"/>
                  <w:color w:val="000080"/>
                  <w:sz w:val="20"/>
                  <w:u w:val="single"/>
                </w:rPr>
                <w:t xml:space="preserve"> (Unaudited) and December 31, 202</w:t>
              </w:r>
            </w:hyperlink>
            <w:r>
              <w:rPr>
                <w:rFonts w:ascii="Times New Roman;serif" w:hAnsi="Times New Roman;serif"/>
                <w:b w:val="false"/>
                <w:color w:val="0E32E1"/>
                <w:sz w:val="20"/>
                <w:u w:val="single"/>
              </w:rPr>
              <w:t>5</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16">
              <w:r>
                <w:rPr>
                  <w:rStyle w:val="InternetLink"/>
                  <w:rFonts w:ascii="Times New Roman;serif" w:hAnsi="Times New Roman;serif"/>
                  <w:b w:val="false"/>
                  <w:strike w:val="false"/>
                  <w:dstrike w:val="false"/>
                  <w:color w:val="0E32E1"/>
                  <w:sz w:val="20"/>
                  <w:u w:val="none"/>
                  <w:effect w:val="none"/>
                </w:rPr>
                <w:t>4</w:t>
              </w:r>
            </w:hyperlink>
          </w:p>
        </w:tc>
      </w:tr>
      <w:tr>
        <w:trPr/>
        <w:tc>
          <w:tcPr>
            <w:tcW w:w="9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22">
              <w:r>
                <w:rPr>
                  <w:rStyle w:val="InternetLink"/>
                  <w:rFonts w:ascii="Times New Roman;serif" w:hAnsi="Times New Roman;serif"/>
                  <w:b w:val="false"/>
                  <w:color w:val="000080"/>
                  <w:sz w:val="20"/>
                  <w:u w:val="single"/>
                </w:rPr>
                <w:t xml:space="preserve">Condensed Consolidated Statements of Net </w:t>
              </w:r>
            </w:hyperlink>
            <w:hyperlink w:anchor="i49ea29643dab47a5a5e934e5a9125e98_22">
              <w:r>
                <w:rPr>
                  <w:rStyle w:val="InternetLink"/>
                  <w:rFonts w:ascii="Times New Roman;serif" w:hAnsi="Times New Roman;serif"/>
                  <w:b w:val="false"/>
                  <w:color w:val="000080"/>
                  <w:sz w:val="20"/>
                  <w:u w:val="single"/>
                </w:rPr>
                <w:t>Income (</w:t>
              </w:r>
            </w:hyperlink>
            <w:hyperlink w:anchor="i49ea29643dab47a5a5e934e5a9125e98_22">
              <w:r>
                <w:rPr>
                  <w:rStyle w:val="InternetLink"/>
                  <w:rFonts w:ascii="Times New Roman;serif" w:hAnsi="Times New Roman;serif"/>
                  <w:b w:val="false"/>
                  <w:color w:val="000080"/>
                  <w:sz w:val="20"/>
                  <w:u w:val="single"/>
                </w:rPr>
                <w:t>Loss</w:t>
              </w:r>
            </w:hyperlink>
            <w:hyperlink w:anchor="i49ea29643dab47a5a5e934e5a9125e98_22">
              <w:r>
                <w:rPr>
                  <w:rStyle w:val="InternetLink"/>
                  <w:rFonts w:ascii="Times New Roman;serif" w:hAnsi="Times New Roman;serif"/>
                  <w:b w:val="false"/>
                  <w:color w:val="000080"/>
                  <w:sz w:val="20"/>
                  <w:u w:val="single"/>
                </w:rPr>
                <w:t>)</w:t>
              </w:r>
            </w:hyperlink>
            <w:hyperlink w:anchor="i49ea29643dab47a5a5e934e5a9125e98_22">
              <w:r>
                <w:rPr>
                  <w:rStyle w:val="InternetLink"/>
                  <w:rFonts w:ascii="Times New Roman;serif" w:hAnsi="Times New Roman;serif"/>
                  <w:b w:val="false"/>
                  <w:color w:val="000080"/>
                  <w:sz w:val="20"/>
                  <w:u w:val="single"/>
                </w:rPr>
                <w:t xml:space="preserve"> and Comprehensive Income (Loss) for the three</w:t>
              </w:r>
            </w:hyperlink>
            <w:hyperlink w:anchor="i49ea29643dab47a5a5e934e5a9125e98_22">
              <w:r>
                <w:rPr>
                  <w:rStyle w:val="InternetLink"/>
                  <w:rFonts w:ascii="Times New Roman;serif" w:hAnsi="Times New Roman;serif"/>
                  <w:b w:val="false"/>
                  <w:color w:val="000080"/>
                  <w:sz w:val="20"/>
                  <w:u w:val="single"/>
                </w:rPr>
                <w:t xml:space="preserve"> and six</w:t>
              </w:r>
            </w:hyperlink>
            <w:hyperlink w:anchor="i49ea29643dab47a5a5e934e5a9125e98_22">
              <w:r>
                <w:rPr>
                  <w:rStyle w:val="InternetLink"/>
                  <w:rFonts w:ascii="Times New Roman;serif" w:hAnsi="Times New Roman;serif"/>
                  <w:b w:val="false"/>
                  <w:color w:val="000080"/>
                  <w:sz w:val="20"/>
                  <w:u w:val="single"/>
                </w:rPr>
                <w:t xml:space="preserve"> months </w:t>
              </w:r>
            </w:hyperlink>
            <w:hyperlink w:anchor="i49ea29643dab47a5a5e934e5a9125e98_22">
              <w:r>
                <w:rPr>
                  <w:rStyle w:val="InternetLink"/>
                  <w:rFonts w:ascii="Times New Roman;serif" w:hAnsi="Times New Roman;serif"/>
                  <w:b w:val="false"/>
                  <w:color w:val="000080"/>
                  <w:sz w:val="20"/>
                  <w:u w:val="single"/>
                </w:rPr>
                <w:t xml:space="preserve">ended </w:t>
              </w:r>
            </w:hyperlink>
            <w:hyperlink w:anchor="i49ea29643dab47a5a5e934e5a9125e98_22">
              <w:r>
                <w:rPr>
                  <w:rStyle w:val="InternetLink"/>
                  <w:rFonts w:ascii="Times New Roman;serif" w:hAnsi="Times New Roman;serif"/>
                  <w:b w:val="false"/>
                  <w:color w:val="000080"/>
                  <w:sz w:val="20"/>
                  <w:u w:val="single"/>
                </w:rPr>
                <w:t>June 30</w:t>
              </w:r>
            </w:hyperlink>
            <w:hyperlink w:anchor="i49ea29643dab47a5a5e934e5a9125e98_22">
              <w:r>
                <w:rPr>
                  <w:rStyle w:val="InternetLink"/>
                  <w:rFonts w:ascii="Times New Roman;serif" w:hAnsi="Times New Roman;serif"/>
                  <w:b w:val="false"/>
                  <w:color w:val="000080"/>
                  <w:sz w:val="20"/>
                  <w:u w:val="single"/>
                </w:rPr>
                <w:t>, 2026</w:t>
              </w:r>
            </w:hyperlink>
            <w:hyperlink w:anchor="i49ea29643dab47a5a5e934e5a9125e98_22">
              <w:r>
                <w:rPr>
                  <w:rStyle w:val="InternetLink"/>
                  <w:rFonts w:ascii="Times New Roman;serif" w:hAnsi="Times New Roman;serif"/>
                  <w:b w:val="false"/>
                  <w:color w:val="000080"/>
                  <w:sz w:val="20"/>
                  <w:u w:val="single"/>
                </w:rPr>
                <w:t xml:space="preserve"> and 202</w:t>
              </w:r>
            </w:hyperlink>
            <w:hyperlink w:anchor="i49ea29643dab47a5a5e934e5a9125e98_22">
              <w:r>
                <w:rPr>
                  <w:rStyle w:val="InternetLink"/>
                  <w:rFonts w:ascii="Times New Roman;serif" w:hAnsi="Times New Roman;serif"/>
                  <w:b w:val="false"/>
                  <w:color w:val="000080"/>
                  <w:sz w:val="20"/>
                  <w:u w:val="single"/>
                </w:rPr>
                <w:t>5</w:t>
              </w:r>
            </w:hyperlink>
            <w:hyperlink w:anchor="i49ea29643dab47a5a5e934e5a9125e98_22">
              <w:r>
                <w:rPr>
                  <w:rStyle w:val="InternetLink"/>
                  <w:rFonts w:ascii="Times New Roman;serif" w:hAnsi="Times New Roman;serif"/>
                  <w:b w:val="false"/>
                  <w:color w:val="000080"/>
                  <w:sz w:val="20"/>
                  <w:u w:val="single"/>
                </w:rPr>
                <w:t xml:space="preserve"> (Unaudited)</w:t>
              </w:r>
            </w:hyperlink>
          </w:p>
        </w:tc>
        <w:tc>
          <w:tcPr>
            <w:tcW w:w="7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22">
              <w:r>
                <w:rPr>
                  <w:rStyle w:val="InternetLink"/>
                  <w:rFonts w:ascii="Times New Roman;serif" w:hAnsi="Times New Roman;serif"/>
                  <w:b w:val="false"/>
                  <w:strike w:val="false"/>
                  <w:dstrike w:val="false"/>
                  <w:color w:val="0E32E1"/>
                  <w:sz w:val="20"/>
                  <w:u w:val="none"/>
                  <w:effect w:val="none"/>
                </w:rPr>
                <w:t>5</w:t>
              </w:r>
            </w:hyperlink>
          </w:p>
        </w:tc>
      </w:tr>
      <w:tr>
        <w:trPr/>
        <w:tc>
          <w:tcPr>
            <w:tcW w:w="9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25">
              <w:r>
                <w:rPr>
                  <w:rStyle w:val="InternetLink"/>
                  <w:rFonts w:ascii="Times New Roman;serif" w:hAnsi="Times New Roman;serif"/>
                  <w:b w:val="false"/>
                  <w:color w:val="000080"/>
                  <w:sz w:val="20"/>
                  <w:u w:val="single"/>
                </w:rPr>
                <w:t xml:space="preserve">Condensed Consolidated Statements of Changes in Equity </w:t>
              </w:r>
            </w:hyperlink>
            <w:hyperlink w:anchor="i49ea29643dab47a5a5e934e5a9125e98_22">
              <w:r>
                <w:rPr>
                  <w:rStyle w:val="InternetLink"/>
                  <w:rFonts w:ascii="Times New Roman;serif" w:hAnsi="Times New Roman;serif"/>
                  <w:b w:val="false"/>
                  <w:color w:val="000080"/>
                  <w:sz w:val="20"/>
                  <w:u w:val="single"/>
                </w:rPr>
                <w:t>for the three</w:t>
              </w:r>
            </w:hyperlink>
            <w:hyperlink w:anchor="i49ea29643dab47a5a5e934e5a9125e98_22">
              <w:r>
                <w:rPr>
                  <w:rStyle w:val="InternetLink"/>
                  <w:rFonts w:ascii="Times New Roman;serif" w:hAnsi="Times New Roman;serif"/>
                  <w:b w:val="false"/>
                  <w:color w:val="000080"/>
                  <w:sz w:val="20"/>
                  <w:u w:val="single"/>
                </w:rPr>
                <w:t xml:space="preserve"> and six</w:t>
              </w:r>
            </w:hyperlink>
            <w:hyperlink w:anchor="i49ea29643dab47a5a5e934e5a9125e98_22">
              <w:r>
                <w:rPr>
                  <w:rStyle w:val="InternetLink"/>
                  <w:rFonts w:ascii="Times New Roman;serif" w:hAnsi="Times New Roman;serif"/>
                  <w:b w:val="false"/>
                  <w:color w:val="000080"/>
                  <w:sz w:val="20"/>
                  <w:u w:val="single"/>
                </w:rPr>
                <w:t xml:space="preserve"> </w:t>
              </w:r>
            </w:hyperlink>
            <w:hyperlink w:anchor="i49ea29643dab47a5a5e934e5a9125e98_22">
              <w:r>
                <w:rPr>
                  <w:rStyle w:val="InternetLink"/>
                  <w:rFonts w:ascii="Times New Roman;serif" w:hAnsi="Times New Roman;serif"/>
                  <w:b w:val="false"/>
                  <w:color w:val="000080"/>
                  <w:sz w:val="20"/>
                  <w:u w:val="single"/>
                </w:rPr>
                <w:t xml:space="preserve">months ended </w:t>
              </w:r>
            </w:hyperlink>
            <w:hyperlink w:anchor="i49ea29643dab47a5a5e934e5a9125e98_22">
              <w:r>
                <w:rPr>
                  <w:rStyle w:val="InternetLink"/>
                  <w:rFonts w:ascii="Times New Roman;serif" w:hAnsi="Times New Roman;serif"/>
                  <w:b w:val="false"/>
                  <w:color w:val="000080"/>
                  <w:sz w:val="20"/>
                  <w:u w:val="single"/>
                </w:rPr>
                <w:t>June 30</w:t>
              </w:r>
            </w:hyperlink>
            <w:hyperlink w:anchor="i49ea29643dab47a5a5e934e5a9125e98_22">
              <w:r>
                <w:rPr>
                  <w:rStyle w:val="InternetLink"/>
                  <w:rFonts w:ascii="Times New Roman;serif" w:hAnsi="Times New Roman;serif"/>
                  <w:b w:val="false"/>
                  <w:color w:val="000080"/>
                  <w:sz w:val="20"/>
                  <w:u w:val="single"/>
                </w:rPr>
                <w:t>, 2026 and 2025</w:t>
              </w:r>
            </w:hyperlink>
            <w:hyperlink w:anchor="i49ea29643dab47a5a5e934e5a9125e98_22">
              <w:r>
                <w:rPr>
                  <w:rStyle w:val="InternetLink"/>
                  <w:rFonts w:ascii="Times New Roman;serif" w:hAnsi="Times New Roman;serif"/>
                  <w:b w:val="false"/>
                  <w:color w:val="000080"/>
                  <w:sz w:val="20"/>
                  <w:u w:val="single"/>
                </w:rPr>
                <w:t xml:space="preserve"> (Unaudited)</w:t>
              </w:r>
            </w:hyperlink>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20"/>
              </w:rPr>
            </w:pPr>
            <w:r>
              <w:rPr>
                <w:rFonts w:ascii="Times New Roman;serif" w:hAnsi="Times New Roman;serif"/>
                <w:b w:val="false"/>
                <w:color w:val="0E32E1"/>
                <w:sz w:val="20"/>
              </w:rPr>
              <w:t>6</w:t>
            </w:r>
          </w:p>
        </w:tc>
      </w:tr>
      <w:tr>
        <w:trPr/>
        <w:tc>
          <w:tcPr>
            <w:tcW w:w="94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ea29643dab47a5a5e934e5a9125e98_28">
              <w:r>
                <w:rPr>
                  <w:rStyle w:val="InternetLink"/>
                  <w:rFonts w:ascii="Times New Roman;serif" w:hAnsi="Times New Roman;serif"/>
                  <w:b w:val="false"/>
                  <w:color w:val="000080"/>
                  <w:sz w:val="20"/>
                  <w:u w:val="single"/>
                </w:rPr>
                <w:t xml:space="preserve">Condensed Consolidated Statements of Cash Flows </w:t>
              </w:r>
            </w:hyperlink>
            <w:hyperlink w:anchor="i49ea29643dab47a5a5e934e5a9125e98_22">
              <w:r>
                <w:rPr>
                  <w:rStyle w:val="InternetLink"/>
                  <w:rFonts w:ascii="Times New Roman;serif" w:hAnsi="Times New Roman;serif"/>
                  <w:b w:val="false"/>
                  <w:color w:val="000080"/>
                  <w:sz w:val="20"/>
                  <w:u w:val="single"/>
                </w:rPr>
                <w:t>for the</w:t>
              </w:r>
            </w:hyperlink>
            <w:hyperlink w:anchor="i49ea29643dab47a5a5e934e5a9125e98_22">
              <w:r>
                <w:rPr>
                  <w:rStyle w:val="InternetLink"/>
                  <w:rFonts w:ascii="Times New Roman;serif" w:hAnsi="Times New Roman;serif"/>
                  <w:b w:val="false"/>
                  <w:color w:val="000080"/>
                  <w:sz w:val="20"/>
                  <w:u w:val="single"/>
                </w:rPr>
                <w:t xml:space="preserve"> </w:t>
              </w:r>
            </w:hyperlink>
            <w:hyperlink w:anchor="i49ea29643dab47a5a5e934e5a9125e98_22">
              <w:r>
                <w:rPr>
                  <w:rStyle w:val="InternetLink"/>
                  <w:rFonts w:ascii="Times New Roman;serif" w:hAnsi="Times New Roman;serif"/>
                  <w:b w:val="false"/>
                  <w:color w:val="000080"/>
                  <w:sz w:val="20"/>
                  <w:u w:val="single"/>
                </w:rPr>
                <w:t>six</w:t>
              </w:r>
            </w:hyperlink>
            <w:hyperlink w:anchor="i49ea29643dab47a5a5e934e5a9125e98_22">
              <w:r>
                <w:rPr>
                  <w:rStyle w:val="InternetLink"/>
                  <w:rFonts w:ascii="Times New Roman;serif" w:hAnsi="Times New Roman;serif"/>
                  <w:b w:val="false"/>
                  <w:color w:val="000080"/>
                  <w:sz w:val="20"/>
                  <w:u w:val="single"/>
                </w:rPr>
                <w:t xml:space="preserve"> </w:t>
              </w:r>
            </w:hyperlink>
            <w:hyperlink w:anchor="i49ea29643dab47a5a5e934e5a9125e98_22">
              <w:r>
                <w:rPr>
                  <w:rStyle w:val="InternetLink"/>
                  <w:rFonts w:ascii="Times New Roman;serif" w:hAnsi="Times New Roman;serif"/>
                  <w:b w:val="false"/>
                  <w:color w:val="000080"/>
                  <w:sz w:val="20"/>
                  <w:u w:val="single"/>
                </w:rPr>
                <w:t xml:space="preserve">months ended </w:t>
              </w:r>
            </w:hyperlink>
            <w:hyperlink w:anchor="i49ea29643dab47a5a5e934e5a9125e98_22">
              <w:r>
                <w:rPr>
                  <w:rStyle w:val="InternetLink"/>
                  <w:rFonts w:ascii="Times New Roman;serif" w:hAnsi="Times New Roman;serif"/>
                  <w:b w:val="false"/>
                  <w:color w:val="000080"/>
                  <w:sz w:val="20"/>
                  <w:u w:val="single"/>
                </w:rPr>
                <w:t>June 30</w:t>
              </w:r>
            </w:hyperlink>
            <w:hyperlink w:anchor="i49ea29643dab47a5a5e934e5a9125e98_22">
              <w:r>
                <w:rPr>
                  <w:rStyle w:val="InternetLink"/>
                  <w:rFonts w:ascii="Times New Roman;serif" w:hAnsi="Times New Roman;serif"/>
                  <w:b w:val="false"/>
                  <w:color w:val="000080"/>
                  <w:sz w:val="20"/>
                  <w:u w:val="single"/>
                </w:rPr>
                <w:t>, 2026 and 2025</w:t>
              </w:r>
            </w:hyperlink>
            <w:hyperlink w:anchor="i49ea29643dab47a5a5e934e5a9125e98_22">
              <w:r>
                <w:rPr>
                  <w:rStyle w:val="InternetLink"/>
                  <w:rFonts w:ascii="Times New Roman;serif" w:hAnsi="Times New Roman;serif"/>
                  <w:b w:val="false"/>
                  <w:color w:val="000080"/>
                  <w:sz w:val="20"/>
                  <w:u w:val="single"/>
                </w:rPr>
                <w:t xml:space="preserve"> (Unaudited)</w:t>
              </w:r>
            </w:hyperlink>
          </w:p>
        </w:tc>
        <w:tc>
          <w:tcPr>
            <w:tcW w:w="7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28">
              <w:r>
                <w:rPr>
                  <w:rStyle w:val="InternetLink"/>
                  <w:rFonts w:ascii="Times New Roman;serif" w:hAnsi="Times New Roman;serif"/>
                  <w:b w:val="false"/>
                  <w:strike w:val="false"/>
                  <w:dstrike w:val="false"/>
                  <w:color w:val="0E32E1"/>
                  <w:sz w:val="20"/>
                  <w:u w:val="none"/>
                  <w:effect w:val="none"/>
                </w:rPr>
                <w:t>7</w:t>
              </w:r>
            </w:hyperlink>
          </w:p>
        </w:tc>
      </w:tr>
      <w:tr>
        <w:trPr/>
        <w:tc>
          <w:tcPr>
            <w:tcW w:w="9473" w:type="dxa"/>
            <w:gridSpan w:val="3"/>
            <w:tcBorders/>
            <w:tcMar>
              <w:top w:w="0" w:type="dxa"/>
              <w:left w:w="0" w:type="dxa"/>
              <w:bottom w:w="0" w:type="dxa"/>
              <w:right w:w="0" w:type="dxa"/>
            </w:tcMar>
            <w:vAlign w:val="center"/>
          </w:tcPr>
          <w:p>
            <w:pPr>
              <w:pStyle w:val="TableContents"/>
              <w:bidi w:val="0"/>
              <w:spacing w:lineRule="auto" w:line="240" w:before="11" w:after="283"/>
              <w:jc w:val="left"/>
              <w:rPr/>
            </w:pPr>
            <w:hyperlink w:anchor="i49ea29643dab47a5a5e934e5a9125e98_34">
              <w:r>
                <w:rPr>
                  <w:rStyle w:val="InternetLink"/>
                  <w:rFonts w:ascii="Times New Roman;serif" w:hAnsi="Times New Roman;serif"/>
                  <w:b w:val="false"/>
                  <w:color w:val="0E32E1"/>
                  <w:sz w:val="20"/>
                  <w:u w:val="single"/>
                </w:rPr>
                <w:t>Notes to</w:t>
              </w:r>
            </w:hyperlink>
            <w:hyperlink w:anchor="i49ea29643dab47a5a5e934e5a9125e98_34">
              <w:r>
                <w:rPr>
                  <w:rStyle w:val="InternetLink"/>
                  <w:color w:val="0E32E1"/>
                  <w:u w:val="single"/>
                  <w:shd w:fill="FFFFFF" w:val="clear"/>
                </w:rPr>
                <w:t xml:space="preserve"> </w:t>
              </w:r>
            </w:hyperlink>
            <w:hyperlink w:anchor="i49ea29643dab47a5a5e934e5a9125e98_34">
              <w:r>
                <w:rPr>
                  <w:rStyle w:val="InternetLink"/>
                  <w:rFonts w:ascii="Times New Roman;serif" w:hAnsi="Times New Roman;serif"/>
                  <w:b w:val="false"/>
                  <w:color w:val="0E32E1"/>
                  <w:sz w:val="20"/>
                  <w:u w:val="single"/>
                  <w:shd w:fill="FFFFFF" w:val="clear"/>
                </w:rPr>
                <w:t xml:space="preserve">Condensed </w:t>
              </w:r>
            </w:hyperlink>
            <w:hyperlink w:anchor="i49ea29643dab47a5a5e934e5a9125e98_34">
              <w:r>
                <w:rPr>
                  <w:rStyle w:val="InternetLink"/>
                  <w:rFonts w:ascii="Times New Roman;serif" w:hAnsi="Times New Roman;serif"/>
                  <w:b w:val="false"/>
                  <w:color w:val="000080"/>
                  <w:sz w:val="20"/>
                  <w:u w:val="single"/>
                </w:rPr>
                <w:t>Consolidated Financial Statements</w:t>
              </w:r>
            </w:hyperlink>
            <w:r>
              <w:rPr>
                <w:rFonts w:ascii="Times New Roman;serif" w:hAnsi="Times New Roman;serif"/>
                <w:b w:val="false"/>
                <w:color w:val="0E32E1"/>
                <w:sz w:val="20"/>
                <w:u w:val="single"/>
              </w:rPr>
              <w:t xml:space="preserve"> (Unaudited)</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34">
              <w:r>
                <w:rPr>
                  <w:rStyle w:val="InternetLink"/>
                  <w:rFonts w:ascii="Times New Roman;serif" w:hAnsi="Times New Roman;serif"/>
                  <w:b w:val="false"/>
                  <w:strike w:val="false"/>
                  <w:dstrike w:val="false"/>
                  <w:color w:val="0E32E1"/>
                  <w:sz w:val="20"/>
                  <w:u w:val="none"/>
                  <w:effect w:val="none"/>
                </w:rPr>
                <w:t>8</w:t>
              </w:r>
            </w:hyperlink>
          </w:p>
        </w:tc>
      </w:tr>
      <w:tr>
        <w:trPr/>
        <w:tc>
          <w:tcPr>
            <w:tcW w:w="9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885" w:type="dxa"/>
        <w:jc w:val="left"/>
        <w:tblInd w:w="0" w:type="dxa"/>
        <w:tblLayout w:type="fixed"/>
        <w:tblCellMar>
          <w:top w:w="28" w:type="dxa"/>
          <w:left w:w="28" w:type="dxa"/>
          <w:bottom w:w="28" w:type="dxa"/>
          <w:right w:w="28" w:type="dxa"/>
        </w:tblCellMar>
      </w:tblPr>
      <w:tblGrid>
        <w:gridCol w:w="1908"/>
        <w:gridCol w:w="1680"/>
        <w:gridCol w:w="1692"/>
        <w:gridCol w:w="469"/>
        <w:gridCol w:w="469"/>
        <w:gridCol w:w="667"/>
      </w:tblGrid>
      <w:tr>
        <w:trPr/>
        <w:tc>
          <w:tcPr>
            <w:tcW w:w="1908"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 unaudited)</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4"/>
        <w:gridCol w:w="2165"/>
        <w:gridCol w:w="2087"/>
        <w:gridCol w:w="223"/>
        <w:gridCol w:w="1032"/>
        <w:gridCol w:w="115"/>
        <w:gridCol w:w="109"/>
        <w:gridCol w:w="109"/>
        <w:gridCol w:w="109"/>
        <w:gridCol w:w="240"/>
        <w:gridCol w:w="1112"/>
        <w:gridCol w:w="180"/>
      </w:tblGrid>
      <w:tr>
        <w:trPr/>
        <w:tc>
          <w:tcPr>
            <w:tcW w:w="2724"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791,794 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receivable</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912,030 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944,086 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interest-bearing deposits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loans receivable, net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1,179,860 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1,197,140 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obligation</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6976"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due to non-controlling interests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lease obligation</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Share capital and additional paid-in capital (no par value; authorized for issue as of June 30, 2026 and December 31, 2025: unlimited; shares outstanding as of June 30, 2026 and December 31, 2025: 370,726,047 and 381,592,969, respectively)</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shareholders of Cronos Group</w:t>
            </w:r>
          </w:p>
        </w:tc>
        <w:tc>
          <w:tcPr>
            <w:tcW w:w="12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1,068,672 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1,093,897 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1,117,445 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1,142,959 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1,179,860 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1,197,140 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See notes to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8940" w:type="dxa"/>
        <w:jc w:val="left"/>
        <w:tblInd w:w="0" w:type="dxa"/>
        <w:tblLayout w:type="fixed"/>
        <w:tblCellMar>
          <w:top w:w="28" w:type="dxa"/>
          <w:left w:w="28" w:type="dxa"/>
          <w:bottom w:w="28" w:type="dxa"/>
          <w:right w:w="28" w:type="dxa"/>
        </w:tblCellMar>
      </w:tblPr>
      <w:tblGrid>
        <w:gridCol w:w="2650"/>
        <w:gridCol w:w="2334"/>
        <w:gridCol w:w="2351"/>
        <w:gridCol w:w="469"/>
        <w:gridCol w:w="469"/>
        <w:gridCol w:w="667"/>
      </w:tblGrid>
      <w:tr>
        <w:trPr/>
        <w:tc>
          <w:tcPr>
            <w:tcW w:w="2650"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Net Income (Loss) and Comprehensive Income (Loss)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11"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and per share amounts, unaudited)</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1779"/>
        <w:gridCol w:w="1495"/>
        <w:gridCol w:w="1500"/>
        <w:gridCol w:w="211"/>
        <w:gridCol w:w="721"/>
        <w:gridCol w:w="109"/>
        <w:gridCol w:w="109"/>
        <w:gridCol w:w="109"/>
        <w:gridCol w:w="109"/>
        <w:gridCol w:w="211"/>
        <w:gridCol w:w="787"/>
        <w:gridCol w:w="109"/>
        <w:gridCol w:w="109"/>
        <w:gridCol w:w="109"/>
        <w:gridCol w:w="109"/>
        <w:gridCol w:w="211"/>
        <w:gridCol w:w="826"/>
        <w:gridCol w:w="109"/>
        <w:gridCol w:w="109"/>
        <w:gridCol w:w="109"/>
        <w:gridCol w:w="109"/>
        <w:gridCol w:w="211"/>
        <w:gridCol w:w="787"/>
        <w:gridCol w:w="158"/>
      </w:tblGrid>
      <w:tr>
        <w:trPr/>
        <w:tc>
          <w:tcPr>
            <w:tcW w:w="177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before excise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revaluation of financial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held-for-sale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 on non-operating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(expense)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(22,343)</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(31,739)</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Cronos Group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(33,589)</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on translation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Cronos Group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Cronos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Cronos Group</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notes to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325" w:type="dxa"/>
        <w:jc w:val="left"/>
        <w:tblInd w:w="0" w:type="dxa"/>
        <w:tblLayout w:type="fixed"/>
        <w:tblCellMar>
          <w:top w:w="28" w:type="dxa"/>
          <w:left w:w="28" w:type="dxa"/>
          <w:bottom w:w="28" w:type="dxa"/>
          <w:right w:w="28" w:type="dxa"/>
        </w:tblCellMar>
      </w:tblPr>
      <w:tblGrid>
        <w:gridCol w:w="1705"/>
        <w:gridCol w:w="1493"/>
        <w:gridCol w:w="2127"/>
      </w:tblGrid>
      <w:tr>
        <w:trPr/>
        <w:tc>
          <w:tcPr>
            <w:tcW w:w="170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Changes in Equity</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six months ended June 30, 2026 and 2025</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 unaudited)</w:t>
            </w:r>
          </w:p>
        </w:tc>
      </w:tr>
    </w:tbl>
    <w:tbl>
      <w:tblPr>
        <w:tblW w:w="10528" w:type="dxa"/>
        <w:jc w:val="left"/>
        <w:tblInd w:w="0" w:type="dxa"/>
        <w:tblLayout w:type="fixed"/>
        <w:tblCellMar>
          <w:top w:w="28" w:type="dxa"/>
          <w:left w:w="28" w:type="dxa"/>
          <w:bottom w:w="28" w:type="dxa"/>
          <w:right w:w="28" w:type="dxa"/>
        </w:tblCellMar>
      </w:tblPr>
      <w:tblGrid>
        <w:gridCol w:w="817"/>
        <w:gridCol w:w="296"/>
        <w:gridCol w:w="298"/>
        <w:gridCol w:w="597"/>
        <w:gridCol w:w="589"/>
        <w:gridCol w:w="231"/>
        <w:gridCol w:w="109"/>
        <w:gridCol w:w="109"/>
        <w:gridCol w:w="109"/>
        <w:gridCol w:w="211"/>
        <w:gridCol w:w="826"/>
        <w:gridCol w:w="109"/>
        <w:gridCol w:w="109"/>
        <w:gridCol w:w="109"/>
        <w:gridCol w:w="109"/>
        <w:gridCol w:w="211"/>
        <w:gridCol w:w="826"/>
        <w:gridCol w:w="109"/>
        <w:gridCol w:w="109"/>
        <w:gridCol w:w="109"/>
        <w:gridCol w:w="109"/>
        <w:gridCol w:w="233"/>
        <w:gridCol w:w="816"/>
        <w:gridCol w:w="122"/>
        <w:gridCol w:w="109"/>
        <w:gridCol w:w="109"/>
        <w:gridCol w:w="109"/>
        <w:gridCol w:w="255"/>
        <w:gridCol w:w="873"/>
        <w:gridCol w:w="133"/>
        <w:gridCol w:w="109"/>
        <w:gridCol w:w="109"/>
        <w:gridCol w:w="109"/>
        <w:gridCol w:w="211"/>
        <w:gridCol w:w="97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4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381,592,969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1,142,959 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relating to share-based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1,031,438 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(6,365,700)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on translation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376,258,707 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1,123,814 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relating to share-based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(5,888,170)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paid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on translation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370,726,047 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48,773 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10528" w:type="dxa"/>
        <w:jc w:val="left"/>
        <w:tblInd w:w="0" w:type="dxa"/>
        <w:tblLayout w:type="fixed"/>
        <w:tblCellMar>
          <w:top w:w="28" w:type="dxa"/>
          <w:left w:w="28" w:type="dxa"/>
          <w:bottom w:w="28" w:type="dxa"/>
          <w:right w:w="28" w:type="dxa"/>
        </w:tblCellMar>
      </w:tblPr>
      <w:tblGrid>
        <w:gridCol w:w="817"/>
        <w:gridCol w:w="296"/>
        <w:gridCol w:w="298"/>
        <w:gridCol w:w="598"/>
        <w:gridCol w:w="588"/>
        <w:gridCol w:w="231"/>
        <w:gridCol w:w="109"/>
        <w:gridCol w:w="109"/>
        <w:gridCol w:w="109"/>
        <w:gridCol w:w="211"/>
        <w:gridCol w:w="826"/>
        <w:gridCol w:w="109"/>
        <w:gridCol w:w="109"/>
        <w:gridCol w:w="109"/>
        <w:gridCol w:w="109"/>
        <w:gridCol w:w="211"/>
        <w:gridCol w:w="826"/>
        <w:gridCol w:w="109"/>
        <w:gridCol w:w="109"/>
        <w:gridCol w:w="109"/>
        <w:gridCol w:w="109"/>
        <w:gridCol w:w="233"/>
        <w:gridCol w:w="816"/>
        <w:gridCol w:w="122"/>
        <w:gridCol w:w="109"/>
        <w:gridCol w:w="109"/>
        <w:gridCol w:w="109"/>
        <w:gridCol w:w="255"/>
        <w:gridCol w:w="873"/>
        <w:gridCol w:w="133"/>
        <w:gridCol w:w="109"/>
        <w:gridCol w:w="109"/>
        <w:gridCol w:w="109"/>
        <w:gridCol w:w="211"/>
        <w:gridCol w:w="97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capital and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4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382,530,780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(63,525)</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relating to share-based compensation</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on translation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385,406,395 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Activities relating to share-based compensation</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(1,874,951)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paid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on translation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383,806,912 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6884" w:type="dxa"/>
        <w:jc w:val="left"/>
        <w:tblInd w:w="0" w:type="dxa"/>
        <w:tblLayout w:type="fixed"/>
        <w:tblCellMar>
          <w:top w:w="28" w:type="dxa"/>
          <w:left w:w="28" w:type="dxa"/>
          <w:bottom w:w="28" w:type="dxa"/>
          <w:right w:w="28" w:type="dxa"/>
        </w:tblCellMar>
      </w:tblPr>
      <w:tblGrid>
        <w:gridCol w:w="1907"/>
        <w:gridCol w:w="1680"/>
        <w:gridCol w:w="1692"/>
        <w:gridCol w:w="469"/>
        <w:gridCol w:w="469"/>
        <w:gridCol w:w="667"/>
      </w:tblGrid>
      <w:tr>
        <w:trPr/>
        <w:tc>
          <w:tcPr>
            <w:tcW w:w="190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 unaudited)</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before="11" w:after="283"/>
        <w:jc w:val="left"/>
        <w:rPr/>
      </w:pPr>
      <w:r>
        <w:rPr/>
      </w:r>
    </w:p>
    <w:tbl>
      <w:tblPr>
        <w:tblW w:w="9518" w:type="dxa"/>
        <w:jc w:val="left"/>
        <w:tblInd w:w="0" w:type="dxa"/>
        <w:tblLayout w:type="fixed"/>
        <w:tblCellMar>
          <w:top w:w="28" w:type="dxa"/>
          <w:left w:w="28" w:type="dxa"/>
          <w:bottom w:w="28" w:type="dxa"/>
          <w:right w:w="28" w:type="dxa"/>
        </w:tblCellMar>
      </w:tblPr>
      <w:tblGrid>
        <w:gridCol w:w="2483"/>
        <w:gridCol w:w="2178"/>
        <w:gridCol w:w="2193"/>
        <w:gridCol w:w="211"/>
        <w:gridCol w:w="826"/>
        <w:gridCol w:w="109"/>
        <w:gridCol w:w="109"/>
        <w:gridCol w:w="109"/>
        <w:gridCol w:w="109"/>
        <w:gridCol w:w="211"/>
        <w:gridCol w:w="826"/>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Adjustments to reconcile net income (loss) to net cash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expected credit losses on long-term financial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held-for-sale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 step-up recorded to 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non-current interest-bearing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repayment on loans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paid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paid on share-based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See notes to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240"/>
        <w:jc w:val="both"/>
        <w:rPr>
          <w:rFonts w:ascii="Times New Roman;serif" w:hAnsi="Times New Roman;serif"/>
          <w:b/>
          <w:color w:val="000000"/>
          <w:sz w:val="24"/>
        </w:rPr>
      </w:pPr>
      <w:r>
        <w:rPr>
          <w:rFonts w:ascii="Times New Roman;serif" w:hAnsi="Times New Roman;serif"/>
          <w:b/>
          <w:color w:val="000000"/>
          <w:sz w:val="24"/>
        </w:rPr>
        <w:t>1. Background, Basis of Presentation, and Summary of Significant Accounting Policies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(a)Background</w:t>
      </w:r>
    </w:p>
    <w:p>
      <w:pPr>
        <w:pStyle w:val="TextBody"/>
        <w:bidi w:val="0"/>
        <w:spacing w:lineRule="auto" w:line="288" w:before="120" w:after="120"/>
        <w:jc w:val="both"/>
        <w:rPr/>
      </w:pPr>
      <w:r>
        <w:rPr>
          <w:rFonts w:ascii="Times New Roman;serif" w:hAnsi="Times New Roman;serif"/>
          <w:b w:val="false"/>
          <w:color w:val="000000"/>
          <w:sz w:val="20"/>
        </w:rPr>
        <w:t xml:space="preserve">Cronos Group Inc. (“Cronos” or the “Company”) is incorporated in the province of British Columbia under the </w:t>
      </w:r>
      <w:r>
        <w:rPr>
          <w:rFonts w:ascii="Times New Roman;serif" w:hAnsi="Times New Roman;serif"/>
          <w:b w:val="false"/>
          <w:i/>
          <w:color w:val="000000"/>
          <w:sz w:val="20"/>
        </w:rPr>
        <w:t xml:space="preserve">Business Corporations Act </w:t>
      </w:r>
      <w:r>
        <w:rPr>
          <w:rFonts w:ascii="Times New Roman;serif" w:hAnsi="Times New Roman;serif"/>
          <w:b w:val="false"/>
          <w:color w:val="000000"/>
          <w:sz w:val="20"/>
        </w:rPr>
        <w:t>(British Columbia) with principal executive offices at 4491 Concession Rd 12, Stayner, Ontario, L0M 1S0. The Company’s common shares are currently listed on the Toronto Stock Exchange (“TSX”) and Nasdaq Global Market (“Nasdaq”) under the ticker symbol “CRON.”</w:t>
      </w:r>
    </w:p>
    <w:p>
      <w:pPr>
        <w:pStyle w:val="TextBody"/>
        <w:bidi w:val="0"/>
        <w:spacing w:lineRule="auto" w:line="288" w:before="120" w:after="120"/>
        <w:jc w:val="both"/>
        <w:rPr/>
      </w:pPr>
      <w:r>
        <w:rPr>
          <w:rFonts w:ascii="Times New Roman;serif" w:hAnsi="Times New Roman;serif"/>
          <w:b w:val="false"/>
          <w:color w:val="000000"/>
          <w:sz w:val="20"/>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Times New Roman;serif" w:hAnsi="Times New Roman;serif"/>
          <w:b w:val="false"/>
          <w:color w:val="000000"/>
          <w:sz w:val="13"/>
        </w:rPr>
        <w:t>®</w:t>
      </w:r>
      <w:r>
        <w:rPr>
          <w:rFonts w:ascii="Times New Roman;serif" w:hAnsi="Times New Roman;serif"/>
          <w:b w:val="false"/>
          <w:color w:val="000000"/>
          <w:sz w:val="20"/>
        </w:rPr>
        <w:t>, PEACE NATURALS</w:t>
      </w:r>
      <w:r>
        <w:rPr>
          <w:rFonts w:ascii="Times New Roman;serif" w:hAnsi="Times New Roman;serif"/>
          <w:b w:val="false"/>
          <w:color w:val="000000"/>
          <w:sz w:val="13"/>
        </w:rPr>
        <w:t>®</w:t>
      </w:r>
      <w:r>
        <w:rPr>
          <w:rFonts w:ascii="Times New Roman;serif" w:hAnsi="Times New Roman;serif"/>
          <w:b w:val="false"/>
          <w:color w:val="000000"/>
          <w:sz w:val="20"/>
        </w:rPr>
        <w:t>, LIT</w:t>
      </w:r>
      <w:r>
        <w:rPr>
          <w:color w:val="000000"/>
        </w:rPr>
        <w:t xml:space="preserve">™ </w:t>
      </w:r>
      <w:r>
        <w:rPr>
          <w:rFonts w:ascii="Times New Roman;serif" w:hAnsi="Times New Roman;serif"/>
          <w:b w:val="false"/>
          <w:color w:val="000000"/>
          <w:sz w:val="20"/>
        </w:rPr>
        <w:t>and Lord Jones</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(b)Basis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interim financial statements of Cronos are unaudited. They have been prepared in accordance with Generally Accepted Accounting Principles in the United States (“U.S. GAAP”) for interim financial information and with applicable rules and regulations of the U.S. Securities and Exchange Commission (the “SEC”) relating to interim financial statements. Accordingly, they do not include all of the information and footnotes required by U.S. GAAP for complete financial statements. In the opinion of management, all adjustments (consisting of normal recurring adjustments) considered necessary for a fair presentation have been included. Operating results for the three and six months ended June 30, 2026 are not necessarily indicative of the results that may be expected for any other reporting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interim financial statements should be read in conjunction with the Company’s audited consolidated financial statements and related notes included in its Annual Report on Form 10-K for the year ended December 31, 2025 (the “Annual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of our condensed consolidated interim financial statements. These reclassifications had no effect on the reported results of operations and ending shareholders’ equity.</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(c)Segment information</w:t>
      </w:r>
    </w:p>
    <w:p>
      <w:pPr>
        <w:pStyle w:val="TextBody"/>
        <w:bidi w:val="0"/>
        <w:spacing w:lineRule="auto" w:line="268" w:before="0" w:after="0"/>
        <w:jc w:val="both"/>
        <w:rPr/>
      </w:pPr>
      <w:r>
        <w:rPr>
          <w:rFonts w:ascii="Times New Roman;serif" w:hAnsi="Times New Roman;serif"/>
          <w:b w:val="false"/>
          <w:color w:val="000000"/>
          <w:sz w:val="20"/>
        </w:rPr>
        <w:t xml:space="preserve">Segment reporting is prepared on the same basis that the Company’s chief operating decision maker (the “CODM”) manages the business, makes operating decisions and assesses the Company’s performance. The Company has determined that it has one operating segment and therefore one reportable segment, which is comprised of operations </w:t>
      </w:r>
      <w:r>
        <w:rPr>
          <w:rFonts w:ascii="Times New Roman;serif" w:hAnsi="Times New Roman;serif"/>
          <w:b w:val="false"/>
          <w:color w:val="212529"/>
          <w:sz w:val="20"/>
        </w:rPr>
        <w:t xml:space="preserve">in Canada and Israel and is involved in </w:t>
      </w:r>
      <w:r>
        <w:rPr>
          <w:rFonts w:ascii="Times New Roman;serif" w:hAnsi="Times New Roman;serif"/>
          <w:b w:val="false"/>
          <w:color w:val="000000"/>
          <w:sz w:val="20"/>
        </w:rPr>
        <w:t>the cultivation, manufacture, and marketing of cannabis and cannabis-derived products for the medical and adult-use markets</w:t>
      </w:r>
      <w:r>
        <w:rPr>
          <w:rFonts w:ascii="Times New Roman;serif" w:hAnsi="Times New Roman;serif"/>
          <w:b w:val="false"/>
          <w:color w:val="212529"/>
          <w:sz w:val="20"/>
        </w:rPr>
        <w:t>.</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(d)Revenue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by major product category:</w:t>
      </w:r>
    </w:p>
    <w:tbl>
      <w:tblPr>
        <w:tblW w:w="4013" w:type="dxa"/>
        <w:jc w:val="left"/>
        <w:tblInd w:w="0" w:type="dxa"/>
        <w:tblLayout w:type="fixed"/>
        <w:tblCellMar>
          <w:top w:w="28" w:type="dxa"/>
          <w:left w:w="28" w:type="dxa"/>
          <w:bottom w:w="28" w:type="dxa"/>
          <w:right w:w="28" w:type="dxa"/>
        </w:tblCellMar>
      </w:tblPr>
      <w:tblGrid>
        <w:gridCol w:w="565"/>
        <w:gridCol w:w="496"/>
        <w:gridCol w:w="498"/>
        <w:gridCol w:w="211"/>
        <w:gridCol w:w="721"/>
        <w:gridCol w:w="109"/>
        <w:gridCol w:w="109"/>
        <w:gridCol w:w="109"/>
        <w:gridCol w:w="109"/>
        <w:gridCol w:w="21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13" w:type="dxa"/>
        <w:jc w:val="left"/>
        <w:tblInd w:w="0" w:type="dxa"/>
        <w:tblLayout w:type="fixed"/>
        <w:tblCellMar>
          <w:top w:w="28" w:type="dxa"/>
          <w:left w:w="28" w:type="dxa"/>
          <w:bottom w:w="28" w:type="dxa"/>
          <w:right w:w="28" w:type="dxa"/>
        </w:tblCellMar>
      </w:tblPr>
      <w:tblGrid>
        <w:gridCol w:w="565"/>
        <w:gridCol w:w="496"/>
        <w:gridCol w:w="498"/>
        <w:gridCol w:w="211"/>
        <w:gridCol w:w="721"/>
        <w:gridCol w:w="109"/>
        <w:gridCol w:w="109"/>
        <w:gridCol w:w="109"/>
        <w:gridCol w:w="109"/>
        <w:gridCol w:w="21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Net revenues attributed to a geographic region based on the location of the customer were as follows:</w:t>
      </w:r>
    </w:p>
    <w:tbl>
      <w:tblPr>
        <w:tblW w:w="3818" w:type="dxa"/>
        <w:jc w:val="left"/>
        <w:tblInd w:w="0" w:type="dxa"/>
        <w:tblLayout w:type="fixed"/>
        <w:tblCellMar>
          <w:top w:w="28" w:type="dxa"/>
          <w:left w:w="28" w:type="dxa"/>
          <w:bottom w:w="28" w:type="dxa"/>
          <w:right w:w="28" w:type="dxa"/>
        </w:tblCellMar>
      </w:tblPr>
      <w:tblGrid>
        <w:gridCol w:w="492"/>
        <w:gridCol w:w="432"/>
        <w:gridCol w:w="440"/>
        <w:gridCol w:w="211"/>
        <w:gridCol w:w="721"/>
        <w:gridCol w:w="109"/>
        <w:gridCol w:w="109"/>
        <w:gridCol w:w="109"/>
        <w:gridCol w:w="109"/>
        <w:gridCol w:w="211"/>
        <w:gridCol w:w="721"/>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18" w:type="dxa"/>
        <w:jc w:val="left"/>
        <w:tblInd w:w="0" w:type="dxa"/>
        <w:tblLayout w:type="fixed"/>
        <w:tblCellMar>
          <w:top w:w="28" w:type="dxa"/>
          <w:left w:w="28" w:type="dxa"/>
          <w:bottom w:w="28" w:type="dxa"/>
          <w:right w:w="28" w:type="dxa"/>
        </w:tblCellMar>
      </w:tblPr>
      <w:tblGrid>
        <w:gridCol w:w="492"/>
        <w:gridCol w:w="432"/>
        <w:gridCol w:w="440"/>
        <w:gridCol w:w="211"/>
        <w:gridCol w:w="721"/>
        <w:gridCol w:w="109"/>
        <w:gridCol w:w="109"/>
        <w:gridCol w:w="109"/>
        <w:gridCol w:w="109"/>
        <w:gridCol w:w="211"/>
        <w:gridCol w:w="721"/>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(e)Short-term investments and non-current interest-bearing deposits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Short-term investments and non-current interest-bearing deposits are classified as held-to-maturity and recorded at cost. Interest earned on short-term investments and non-current interest-bearing deposits is recorded in interest receivables on the consolidated balance sheets and interest income, net on the condensed consolidated statements of net income (loss) and comprehensive income (loss). Cash inflows and outflows related to the purchase and maturity of short-term investments and non-current interest-bearing deposits are classified as investing activities in the Company’s condensed consolidated statements of cash flows. The Company’s short-term investments and non-current interest-bearing deposits were $330,000 and $30,000, respectively, as of June 30, 2026 and $40,000 and nil, respectively, as of December 31, 2025, and were comprised of guaranteed investment certificates held in Canada.</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(f)Concentration of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Credit risk is the risk of financial loss to the Company if a customer or counterparty to a financial instrument fails to meet its contractual obligations. The Company is exposed to credit risk from its operating activities, primarily accounts receivable and other receivables, and its investing activities, including cash held with banks and financial institutions, short-term investments, non-current interest-bearing deposits and loans receivable. The Company’s maximum exposure to this risk is equal to the carrying amount of these financial assets, which amounted to $901,439 and $909,839 as of June 30, 2026 and December 31,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 impairment analysis is performed at each reporting date using a provision matrix to measure expected credit losses. The provision rates are based on the days past due for groupings of various customer segments with similar loss patterns. The calculation reflects the probability-weighted outcome, the time value of money and reasonable and supportable information that is available at the reporting date about past events and current conditions. Effective January 1, 2026, the Company elected the practical expedient under ASU 2025-05 (as defined below), which permits the assumption that current conditions as of the reporting date remain unchanged for the remaining life of the asset when developing the expected credit loss estimate for current accounts receivable and current contract assets arising from contracts with customers. Accounts receivable are written off when there is no reasonable expectation of recovery. Indicators that there is no reasonable expectation of recovery include, among others, the failure of a debtor to engage in a repayment plan, and a failure to make contractual payments for a period of greater than 120 days past due. As of June 30, 2026 and December 31, 2025, the Company had $15 and $9, respectively, in expected credit losses that have been recognized on receivables from contracts with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assessed that there is a concentration of credit risk, as 36% of the Company’s accounts receivable were due from two customers with an established credit history with the Company. As of December 31, 2025, 16% of the Company’s accounts receivable were due from one customer with an established credit history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products to a limited number of major customers. Major customers are defined as customers that each individually accounted for greater than 10% of the Company’s net revenue before excise taxes. During the three months ended June 30, 2026, the Company earned a total net revenue before excise taxes of $30,804 from two major customers, together accounting for 44% of the Company’s total net revenue before excise taxes. During the three months ended June 30, 2025, the Company earned a total net revenue before excise taxes of $18,112 from two major customers, together accounting for 41% of the Company’s total net revenue before excise taxes. During the six months ended June 30, 2026, the Company earned a total net revenue before excise taxes of $55,401 from two major customers, together accounting for 43% of the Company’s total net revenue before excise taxes. During the six months ended June 30, 2025, the Company earned a total net revenue before excise taxes of $35,856 from two major customers, together accounting for 42% of the Company’s total net revenue before excise taxes.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(g)Adoption of new accounting pronouncement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issued ASU 2025-05, Financial Instruments—Credit Losses (Topic 326): Measurement of Credit Losses for Accounts Receivable and Contract Assets (“ASU 2025-05”). ASU 2025-05 is effective for annual reporting periods beginning after December 15, 2025, and interim reporting periods within those annual reporting periods, with early adoption permitted. Entities should apply the new guidance prospectively. This ASU effectively simplifies the expected credit loss analysis on accounts receivable and contract assets. Entities may now elect a practical expedient that assumes that current conditions as of the balance sheet date will not change for the remaining life of the asset when evaluating the likelihood of repayment. The adoption of ASU 2025-05 did not have a material effect on the Company’s condensed consolidated financial statements.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(h)New accounting pronouncements not yet adopted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issued ASU 2024-03, Income Statement—Reporting Comprehensive Income—Expense Disaggregation Disclosures (Subtopic 220-40) Segment Reporting (Topic 280): Improvements to Reportable Segment Disclosures (“ASU 2024-03”). ASU 2024-03 adds an obligation under ASC 220-40 to require a footnote disclosure about specific expenses by requiring public business entities to disaggregate,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recognized as part of oil and gas-producing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fiscal years beginning after December 15, 2026, and interim periods within fiscal years beginning after December 15, 2027. Early adoption is permitted, and applicable entities are required to adopt ASU 2024-03 prospectively; however, companies are permitted to apply the amendments in ASU 2024-03 retrospectively. The Company does not expect the adoption of ASU 2024-03 to have a material impact on its consolidated financial statements. In January 2025, the effective date was further clarified with the issuance of ASU 2025-01, Income Statement—Reporting Comprehensive Income—Expense Disaggregation Disclosures (Subtopic 220-40): Clarifying the Effective Date (“ASU 2025-01”). No guidance was changed with ASU 2025-01, but the issuance simply ensures that all public business entities have a clear and consistent timeline for implementing the enhanced expense disaggregation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Financial Accounting Standards Board issued ASU 2025-11, Interim Reporting (Topic 270): Improvements to Interim Disclosure Requirements (“ASU 2025-11”). ASU 2025-11 clarifies and reorganizes existing interim reporting guidance to improve its operability and consistency, primarily by emphasizing that interim disclosures should focus on significant changes since the most recent annual reporting period. The amendments do not change the recognition or measurement of amounts reported in the financial statements. The guidance is effective for interim reporting periods within annual reporting periods beginning after December 15, 2027. The adoption of ASU 2025-11 is not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2. Inventory,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Inventory, net is comprised of the following items:</w:t>
      </w:r>
    </w:p>
    <w:tbl>
      <w:tblPr>
        <w:tblW w:w="6006" w:type="dxa"/>
        <w:jc w:val="left"/>
        <w:tblInd w:w="0" w:type="dxa"/>
        <w:tblLayout w:type="fixed"/>
        <w:tblCellMar>
          <w:top w:w="28" w:type="dxa"/>
          <w:left w:w="28" w:type="dxa"/>
          <w:bottom w:w="28" w:type="dxa"/>
          <w:right w:w="28" w:type="dxa"/>
        </w:tblCellMar>
      </w:tblPr>
      <w:tblGrid>
        <w:gridCol w:w="819"/>
        <w:gridCol w:w="719"/>
        <w:gridCol w:w="726"/>
        <w:gridCol w:w="109"/>
        <w:gridCol w:w="109"/>
        <w:gridCol w:w="109"/>
        <w:gridCol w:w="313"/>
        <w:gridCol w:w="1070"/>
        <w:gridCol w:w="161"/>
        <w:gridCol w:w="109"/>
        <w:gridCol w:w="109"/>
        <w:gridCol w:w="109"/>
        <w:gridCol w:w="299"/>
        <w:gridCol w:w="1025"/>
        <w:gridCol w:w="220"/>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transaction by which we obtained majority control of Cronos Growing Company Inc.’s (“Cronos GrowCo”) board of directors (the “Cronos GrowCo Transaction”), the Company recorded a step-up to Cronos GrowCo’s existing inventory of $5,605 to bring the inventory balance acquired by the Company to its fair value. For the three and six months ended June 30, 2025, the Company recognized nil and $517, respectively, of this inventory step-up into cost of sales on the condensed consolidated statements of net income (loss) and comprehensive income (loss). No inventory step-up was recognized in cost of sales during 2026. As of both June 30, 2026 and December 31, 2025, none of the inventory step-up was remaining in the Company’s inventory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3. Investments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investments consist of investments in common shares and warrants of companies in the cannabis industry.</w:t>
      </w:r>
    </w:p>
    <w:p>
      <w:pPr>
        <w:pStyle w:val="TextBody"/>
        <w:bidi w:val="0"/>
        <w:spacing w:lineRule="auto" w:line="240" w:before="120" w:after="120"/>
        <w:jc w:val="both"/>
        <w:rPr>
          <w:rFonts w:ascii="Times New Roman;serif" w:hAnsi="Times New Roman;serif"/>
          <w:b w:val="false"/>
          <w:i/>
          <w:color w:val="000000"/>
          <w:sz w:val="20"/>
        </w:rPr>
      </w:pPr>
      <w:r>
        <w:rPr>
          <w:rFonts w:ascii="Times New Roman;serif" w:hAnsi="Times New Roman;serif"/>
          <w:b w:val="false"/>
          <w:i/>
          <w:color w:val="000000"/>
          <w:sz w:val="20"/>
        </w:rPr>
        <w:t>Vitura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12, 2025, Vitura Health Limited (“Vitura”) issued an additional 74,814,757 common shares diluting the Company’s ownership in Vitura from approximately 10% to approximately 8.3%. As of June 30, 2026, the Company’s ownership percentage in Vitura remained at approximately 8.3% of its outstanding common shares. The investment is considered an equity security with a readily determinable fair value. Changes in the fair value of the investment are recorded as gain (loss) on revaluation of financial instruments on the condensed consolidated statements of net income (loss) and comprehensive income (loss).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High Tide Warrant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16, 2025, the Company, as lender, and High Tide Inc. (“High Tide”), as borrower, entered into a loan agreement for junior secured convertible debt with a principal amount of C$30,000 and an original issue discount of 16% (the “High Tide Loan”). Additionally, the Company received a common share purchase warrant (the “High Tide Warrant”) with a five-year term, which is exercisable into up to 3,836,317 common shares (the “Warrant Shares”) of High Tide at an exercise price of C$3.91 per Warrant Share.</w:t>
      </w:r>
    </w:p>
    <w:p>
      <w:pPr>
        <w:pStyle w:val="TextBody"/>
        <w:bidi w:val="0"/>
        <w:spacing w:lineRule="auto" w:line="288" w:before="120" w:after="120"/>
        <w:jc w:val="both"/>
        <w:rPr/>
      </w:pPr>
      <w:r>
        <w:rPr>
          <w:rFonts w:ascii="Times New Roman;serif" w:hAnsi="Times New Roman;serif"/>
          <w:b w:val="false"/>
          <w:color w:val="000000"/>
          <w:sz w:val="20"/>
        </w:rPr>
        <w:t>The High Tide Warrant is classified as a derivative that is not being held as a hedge and was initially recorded at a fair value of C$6,989 to other investments on the condensed consolidated balance sheet on the transaction date. The High Tide Warrant’s fair value is estimated at each reporting date using a Black-Scholes model. Key inputs include the share price and volatility of High Tide common shares, the risk-free rate and the remaining term of the High Tide Warrant. Changes in the fair value of the High Tide Warrant are recorded as income (loss) on revaluation of financial instruments on the condensed consolidated statements of net income (loss) and comprehensive income (loss). See Note 4 “</w:t>
      </w:r>
      <w:r>
        <w:rPr>
          <w:rFonts w:ascii="Times New Roman;serif" w:hAnsi="Times New Roman;serif"/>
          <w:b w:val="false"/>
          <w:i/>
          <w:color w:val="000000"/>
          <w:sz w:val="20"/>
        </w:rPr>
        <w:t>Loans Receivable, net</w:t>
      </w:r>
      <w:r>
        <w:rPr>
          <w:color w:val="000000"/>
        </w:rPr>
        <w:t xml:space="preserve">” </w:t>
      </w:r>
      <w:r>
        <w:rPr>
          <w:rFonts w:ascii="Times New Roman;serif" w:hAnsi="Times New Roman;serif"/>
          <w:b w:val="false"/>
          <w:color w:val="000000"/>
          <w:sz w:val="20"/>
        </w:rPr>
        <w:t>for discussion of the loan receivable recognized as part of the agreement with High Tide.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other investments activity:</w:t>
      </w:r>
    </w:p>
    <w:tbl>
      <w:tblPr>
        <w:tblW w:w="8914" w:type="dxa"/>
        <w:jc w:val="left"/>
        <w:tblInd w:w="0" w:type="dxa"/>
        <w:tblLayout w:type="fixed"/>
        <w:tblCellMar>
          <w:top w:w="28" w:type="dxa"/>
          <w:left w:w="28" w:type="dxa"/>
          <w:bottom w:w="28" w:type="dxa"/>
          <w:right w:w="28" w:type="dxa"/>
        </w:tblCellMar>
      </w:tblPr>
      <w:tblGrid>
        <w:gridCol w:w="589"/>
        <w:gridCol w:w="521"/>
        <w:gridCol w:w="525"/>
        <w:gridCol w:w="378"/>
        <w:gridCol w:w="1106"/>
        <w:gridCol w:w="195"/>
        <w:gridCol w:w="109"/>
        <w:gridCol w:w="109"/>
        <w:gridCol w:w="109"/>
        <w:gridCol w:w="308"/>
        <w:gridCol w:w="716"/>
        <w:gridCol w:w="160"/>
        <w:gridCol w:w="109"/>
        <w:gridCol w:w="109"/>
        <w:gridCol w:w="109"/>
        <w:gridCol w:w="547"/>
        <w:gridCol w:w="1011"/>
        <w:gridCol w:w="287"/>
        <w:gridCol w:w="109"/>
        <w:gridCol w:w="109"/>
        <w:gridCol w:w="109"/>
        <w:gridCol w:w="342"/>
        <w:gridCol w:w="999"/>
        <w:gridCol w:w="249"/>
      </w:tblGrid>
      <w:tr>
        <w:trPr/>
        <w:tc>
          <w:tcPr>
            <w:tcW w:w="58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Vitura</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Tide Warrant</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91" w:type="dxa"/>
        <w:jc w:val="left"/>
        <w:tblInd w:w="0" w:type="dxa"/>
        <w:tblLayout w:type="fixed"/>
        <w:tblCellMar>
          <w:top w:w="28" w:type="dxa"/>
          <w:left w:w="28" w:type="dxa"/>
          <w:bottom w:w="28" w:type="dxa"/>
          <w:right w:w="28" w:type="dxa"/>
        </w:tblCellMar>
      </w:tblPr>
      <w:tblGrid>
        <w:gridCol w:w="589"/>
        <w:gridCol w:w="521"/>
        <w:gridCol w:w="525"/>
        <w:gridCol w:w="433"/>
        <w:gridCol w:w="1264"/>
        <w:gridCol w:w="223"/>
        <w:gridCol w:w="109"/>
        <w:gridCol w:w="109"/>
        <w:gridCol w:w="109"/>
        <w:gridCol w:w="109"/>
        <w:gridCol w:w="109"/>
        <w:gridCol w:w="247"/>
        <w:gridCol w:w="810"/>
        <w:gridCol w:w="127"/>
        <w:gridCol w:w="109"/>
        <w:gridCol w:w="109"/>
        <w:gridCol w:w="109"/>
        <w:gridCol w:w="109"/>
        <w:gridCol w:w="109"/>
        <w:gridCol w:w="547"/>
        <w:gridCol w:w="1011"/>
        <w:gridCol w:w="287"/>
        <w:gridCol w:w="109"/>
        <w:gridCol w:w="109"/>
        <w:gridCol w:w="109"/>
        <w:gridCol w:w="342"/>
        <w:gridCol w:w="999"/>
        <w:gridCol w:w="249"/>
      </w:tblGrid>
      <w:tr>
        <w:trPr/>
        <w:tc>
          <w:tcPr>
            <w:tcW w:w="58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Vitura</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Tide Warrant</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09" w:type="dxa"/>
        <w:jc w:val="left"/>
        <w:tblInd w:w="0" w:type="dxa"/>
        <w:tblLayout w:type="fixed"/>
        <w:tblCellMar>
          <w:top w:w="28" w:type="dxa"/>
          <w:left w:w="28" w:type="dxa"/>
          <w:bottom w:w="28" w:type="dxa"/>
          <w:right w:w="28" w:type="dxa"/>
        </w:tblCellMar>
      </w:tblPr>
      <w:tblGrid>
        <w:gridCol w:w="228"/>
        <w:gridCol w:w="201"/>
        <w:gridCol w:w="202"/>
        <w:gridCol w:w="378"/>
        <w:gridCol w:w="1106"/>
        <w:gridCol w:w="195"/>
        <w:gridCol w:w="109"/>
        <w:gridCol w:w="109"/>
        <w:gridCol w:w="109"/>
        <w:gridCol w:w="308"/>
        <w:gridCol w:w="716"/>
        <w:gridCol w:w="160"/>
        <w:gridCol w:w="109"/>
        <w:gridCol w:w="109"/>
        <w:gridCol w:w="109"/>
        <w:gridCol w:w="495"/>
        <w:gridCol w:w="1094"/>
        <w:gridCol w:w="255"/>
        <w:gridCol w:w="109"/>
        <w:gridCol w:w="109"/>
        <w:gridCol w:w="109"/>
        <w:gridCol w:w="342"/>
        <w:gridCol w:w="999"/>
        <w:gridCol w:w="249"/>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Vitura</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86" w:type="dxa"/>
        <w:jc w:val="left"/>
        <w:tblInd w:w="0" w:type="dxa"/>
        <w:tblLayout w:type="fixed"/>
        <w:tblCellMar>
          <w:top w:w="28" w:type="dxa"/>
          <w:left w:w="28" w:type="dxa"/>
          <w:bottom w:w="28" w:type="dxa"/>
          <w:right w:w="28" w:type="dxa"/>
        </w:tblCellMar>
      </w:tblPr>
      <w:tblGrid>
        <w:gridCol w:w="228"/>
        <w:gridCol w:w="201"/>
        <w:gridCol w:w="202"/>
        <w:gridCol w:w="433"/>
        <w:gridCol w:w="1264"/>
        <w:gridCol w:w="223"/>
        <w:gridCol w:w="109"/>
        <w:gridCol w:w="109"/>
        <w:gridCol w:w="109"/>
        <w:gridCol w:w="109"/>
        <w:gridCol w:w="109"/>
        <w:gridCol w:w="308"/>
        <w:gridCol w:w="716"/>
        <w:gridCol w:w="160"/>
        <w:gridCol w:w="109"/>
        <w:gridCol w:w="109"/>
        <w:gridCol w:w="109"/>
        <w:gridCol w:w="109"/>
        <w:gridCol w:w="109"/>
        <w:gridCol w:w="495"/>
        <w:gridCol w:w="1094"/>
        <w:gridCol w:w="255"/>
        <w:gridCol w:w="109"/>
        <w:gridCol w:w="109"/>
        <w:gridCol w:w="109"/>
        <w:gridCol w:w="342"/>
        <w:gridCol w:w="999"/>
        <w:gridCol w:w="249"/>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Vitura</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2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2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4. Loans Receivable,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Loans receivable, net consists of the following:</w:t>
      </w:r>
    </w:p>
    <w:tbl>
      <w:tblPr>
        <w:tblW w:w="8695" w:type="dxa"/>
        <w:jc w:val="left"/>
        <w:tblInd w:w="0" w:type="dxa"/>
        <w:tblLayout w:type="fixed"/>
        <w:tblCellMar>
          <w:top w:w="28" w:type="dxa"/>
          <w:left w:w="28" w:type="dxa"/>
          <w:bottom w:w="28" w:type="dxa"/>
          <w:right w:w="28" w:type="dxa"/>
        </w:tblCellMar>
      </w:tblPr>
      <w:tblGrid>
        <w:gridCol w:w="1761"/>
        <w:gridCol w:w="1547"/>
        <w:gridCol w:w="1552"/>
        <w:gridCol w:w="313"/>
        <w:gridCol w:w="1070"/>
        <w:gridCol w:w="161"/>
        <w:gridCol w:w="109"/>
        <w:gridCol w:w="109"/>
        <w:gridCol w:w="109"/>
        <w:gridCol w:w="381"/>
        <w:gridCol w:w="1305"/>
        <w:gridCol w:w="278"/>
      </w:tblGrid>
      <w:tr>
        <w:trPr/>
        <w:tc>
          <w:tcPr>
            <w:tcW w:w="176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Mucci Promissory Note accrued interest</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portion of loans receivable, net</w:t>
            </w:r>
          </w:p>
        </w:tc>
        <w:tc>
          <w:tcPr>
            <w:tcW w:w="13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High Tide Loan</w:t>
            </w:r>
          </w:p>
        </w:tc>
        <w:tc>
          <w:tcPr>
            <w:tcW w:w="1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Mucci Promissory Note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Cannasoul Collaboration Loan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Long-term portion of accrued interest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portion of loans receivable, net</w:t>
            </w:r>
          </w:p>
        </w:tc>
        <w:tc>
          <w:tcPr>
            <w:tcW w:w="13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 net</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Mucci Promissory Note</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On June 28, 2019, the Company entered into a promissory note receivable agreement (the “Mucci Promissory Note”) for C$16,350 with the Cronos GrowCo joint venture partner (“Mucci”). The Mucci Promissory Note is secured by a general security agreement covering all the assets of Mucci. Prior to July 1, 2022, interest accrued on the Mucci Promissory Note was capitalized as part of the principal balance. On September 30, 2022, the Mucci Promissory Note was amended and restated to increase the interest rate from 3.95% to the Canadian Prime Rate plus 1.25%, change the interest payments from quarterly to annual, and defer Mucci’s initial cash interest payment from September 30, 2022 to July 1, 2023. On June 20, 2024, the Mucci Promissory Note was amended and restated. As a result, interest accrued on the Mucci Promissory Note between July 1, 2023 and July 1, 2024 was capitalized as part of the principal balance. As of July 1, 2024, interest accruing on the Mucci Promissory Note is required to be paid in cash beginning on July 1, 2025. For the three and six months ended June 30, 2026, Mucci made principal repayments of $3,480 and interest payments of $256 on the Mucci Promissory Note. For the three and six months ended June 30, 2025, Mucci made principal repayments of $2,855 and interest payments of $1,003 on the Mucci Promissory Note.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Cannasoul Collaboration Loan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holds a variable interest in Cannasoul Lab Services Ltd. (“CLS”). CLS is a wholly owned subsidiary of Cannasoul Analytics Ltd., which has established a commercial cannabis analytical testing laboratory (the “Cannasoul Laboratory”) located on the premises of Cronos Israel (the “Cannasoul Collaboration”). Cronos Israel agreed to advance up to ILS 8,297 by a non-recourse loan (the “Cannasoul Collaboration Loan”) to CLS over a period of two years from April 1, 2020 for the capital and operating expenditures of the Cannasoul Laboratory. The Cannasoul Collaboration Loan bears interest at 3.5% annually. Cronos Israel will receive 70% of the profits of the Cannasoul Laboratory until such time as it has recovered 150% of the amounts advanced to CLS, after which time it will receive 50% of the Cannasoul Laboratory profits. As a result, the Company is exposed to economic variability from CLS’s performance. The Company does not consolidate CLS as it does not have the power to direct the activities that most significantly impact the entity’s economic performance; thus, the Company is not considered the primary beneficiary of the entity. The carrying amount of the Cannasoul Collaboration Loan is recorded under loans receivable and the full amount of the Cannasoul Collaboration Loan, ILS 8,297, represents the Company’s maximum potential exposure to losses through the Cannasoul Collaboration.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CLS has received ILS 8,297 from the Cannasoul Collaboration Loan.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High Tide Loan</w:t>
      </w:r>
    </w:p>
    <w:p>
      <w:pPr>
        <w:pStyle w:val="TextBody"/>
        <w:bidi w:val="0"/>
        <w:spacing w:lineRule="auto" w:line="288" w:before="120" w:after="120"/>
        <w:jc w:val="both"/>
        <w:rPr/>
      </w:pPr>
      <w:r>
        <w:rPr>
          <w:rFonts w:ascii="Times New Roman;serif" w:hAnsi="Times New Roman;serif"/>
          <w:b w:val="false"/>
          <w:color w:val="000000"/>
          <w:sz w:val="20"/>
        </w:rPr>
        <w:t>On July 16, 2025, the Company, as lender, and High Tide, as borrower, entered into the High Tide Loan. The High Tide Loan bears interest at 4% per annum, payable in cash quarterly, and provides for conversion of the debt into common shares of High Tide at a price of C$4.20 per common share. The High Tide Loan is convertible only upon the agreement of the Company and High Tide. The High Tide Loan has a term of five years and may be repaid early with no penalty. Additionally, the Company received the High Tide Warrant, which is exercisable into up to 3,836,317 common shares of High Tide at an exercise price of C$3.91 per Warrant Share. See Note 3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for discussion of the High Tide Warrant.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loan receivable was recorded at a fair value as of the transaction date of C$18,591 and will be amortized using the effective interest method over the estimated life of the loan. For the three and six months ended June 30, 2026, High Tide paid $213 and $425, respectively, in interest. As of June 30, 2026, the High Tide loan receivable included an unamortized discount of $6,921 and an expected credit loss of $4,960 as presented in the tables below.</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risk on loan receivables. Credit risk is the risk of loss arising from the failure of borrowers to meet the terms of the contract or otherwise fail to perform as agreed. Because each borrower has distinct risk characteristics, the Company evaluates each loan individually rather than as part of a broader portfolio. The Company routinely reviews its borrowers and assesses their financial health to estimate current expected credit losses. This assessment involves examining historical loss data—including benchmarking risk grades using Moody’s reports across different economic cycles—analyzing asset-specific risks, particularly those unique to the cannabis industry, and evaluating the current financial status and forecasted financial results of each borrower. Furthermore, the Company assigns credit risk ratings through an ordinal logit regression model, which compares borrowers’ credit quality to other rated companies by analyzing key financial metrics such as total assets, debt, revenue, earnings before interest and taxes, and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68" w:before="0" w:after="0"/>
        <w:jc w:val="left"/>
        <w:rPr/>
      </w:pPr>
      <w:r>
        <w:rPr>
          <w:rFonts w:ascii="Times New Roman;serif" w:hAnsi="Times New Roman;serif"/>
          <w:b w:val="false"/>
          <w:color w:val="000000"/>
          <w:sz w:val="20"/>
          <w:shd w:fill="FFFFFF" w:val="clear"/>
        </w:rPr>
        <w:t>Expected</w:t>
      </w:r>
      <w:r>
        <w:rPr>
          <w:color w:val="000000"/>
        </w:rPr>
        <w:t xml:space="preserve"> </w:t>
      </w:r>
      <w:r>
        <w:rPr>
          <w:rFonts w:ascii="Times New Roman;serif" w:hAnsi="Times New Roman;serif"/>
          <w:b w:val="false"/>
          <w:color w:val="000000"/>
          <w:sz w:val="20"/>
        </w:rPr>
        <w:t>credit loss allowances on the Company’s long-term financial assets for the three months ended June 30, 2026 and 2025 were comprised of the following items:</w:t>
      </w:r>
    </w:p>
    <w:tbl>
      <w:tblPr>
        <w:tblW w:w="10205" w:type="dxa"/>
        <w:jc w:val="left"/>
        <w:tblInd w:w="0" w:type="dxa"/>
        <w:tblLayout w:type="fixed"/>
        <w:tblCellMar>
          <w:top w:w="28" w:type="dxa"/>
          <w:left w:w="28" w:type="dxa"/>
          <w:bottom w:w="28" w:type="dxa"/>
          <w:right w:w="28" w:type="dxa"/>
        </w:tblCellMar>
      </w:tblPr>
      <w:tblGrid>
        <w:gridCol w:w="949"/>
        <w:gridCol w:w="828"/>
        <w:gridCol w:w="830"/>
        <w:gridCol w:w="374"/>
        <w:gridCol w:w="1094"/>
        <w:gridCol w:w="193"/>
        <w:gridCol w:w="109"/>
        <w:gridCol w:w="109"/>
        <w:gridCol w:w="109"/>
        <w:gridCol w:w="469"/>
        <w:gridCol w:w="840"/>
        <w:gridCol w:w="246"/>
        <w:gridCol w:w="109"/>
        <w:gridCol w:w="109"/>
        <w:gridCol w:w="109"/>
        <w:gridCol w:w="539"/>
        <w:gridCol w:w="997"/>
        <w:gridCol w:w="283"/>
        <w:gridCol w:w="109"/>
        <w:gridCol w:w="109"/>
        <w:gridCol w:w="109"/>
        <w:gridCol w:w="339"/>
        <w:gridCol w:w="990"/>
        <w:gridCol w:w="253"/>
      </w:tblGrid>
      <w:tr>
        <w:trPr/>
        <w:tc>
          <w:tcPr>
            <w:tcW w:w="94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Increase (decrease)</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Mucci Promissory Note</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Cannasoul Collaboration Loan</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High Tide Loan</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1"/>
        <w:gridCol w:w="802"/>
        <w:gridCol w:w="804"/>
        <w:gridCol w:w="416"/>
        <w:gridCol w:w="1217"/>
        <w:gridCol w:w="214"/>
        <w:gridCol w:w="109"/>
        <w:gridCol w:w="109"/>
        <w:gridCol w:w="109"/>
        <w:gridCol w:w="406"/>
        <w:gridCol w:w="901"/>
        <w:gridCol w:w="213"/>
        <w:gridCol w:w="109"/>
        <w:gridCol w:w="109"/>
        <w:gridCol w:w="109"/>
        <w:gridCol w:w="434"/>
        <w:gridCol w:w="1109"/>
        <w:gridCol w:w="224"/>
        <w:gridCol w:w="109"/>
        <w:gridCol w:w="109"/>
        <w:gridCol w:w="109"/>
        <w:gridCol w:w="332"/>
        <w:gridCol w:w="971"/>
        <w:gridCol w:w="250"/>
      </w:tblGrid>
      <w:tr>
        <w:trPr/>
        <w:tc>
          <w:tcPr>
            <w:tcW w:w="9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Increase (decrease)</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Mucci Promissory Note</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Cannasoul Collaboration Loan</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High Tide Loan</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7"/>
        <w:gridCol w:w="826"/>
        <w:gridCol w:w="827"/>
        <w:gridCol w:w="444"/>
        <w:gridCol w:w="981"/>
        <w:gridCol w:w="229"/>
        <w:gridCol w:w="109"/>
        <w:gridCol w:w="109"/>
        <w:gridCol w:w="109"/>
        <w:gridCol w:w="478"/>
        <w:gridCol w:w="854"/>
        <w:gridCol w:w="249"/>
        <w:gridCol w:w="109"/>
        <w:gridCol w:w="109"/>
        <w:gridCol w:w="109"/>
        <w:gridCol w:w="560"/>
        <w:gridCol w:w="962"/>
        <w:gridCol w:w="292"/>
        <w:gridCol w:w="109"/>
        <w:gridCol w:w="109"/>
        <w:gridCol w:w="109"/>
        <w:gridCol w:w="397"/>
        <w:gridCol w:w="880"/>
        <w:gridCol w:w="298"/>
      </w:tblGrid>
      <w:tr>
        <w:trPr/>
        <w:tc>
          <w:tcPr>
            <w:tcW w:w="94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Increase (decrease)</w:t>
            </w:r>
            <w:r>
              <w:rPr>
                <w:rFonts w:ascii="Times New Roman;serif" w:hAnsi="Times New Roman;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Mucci Promissory Note</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Cannasoul Collaboration Loan</w:t>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1"/>
        <w:gridCol w:w="802"/>
        <w:gridCol w:w="804"/>
        <w:gridCol w:w="491"/>
        <w:gridCol w:w="1089"/>
        <w:gridCol w:w="257"/>
        <w:gridCol w:w="109"/>
        <w:gridCol w:w="109"/>
        <w:gridCol w:w="109"/>
        <w:gridCol w:w="468"/>
        <w:gridCol w:w="835"/>
        <w:gridCol w:w="244"/>
        <w:gridCol w:w="109"/>
        <w:gridCol w:w="109"/>
        <w:gridCol w:w="109"/>
        <w:gridCol w:w="544"/>
        <w:gridCol w:w="936"/>
        <w:gridCol w:w="284"/>
        <w:gridCol w:w="109"/>
        <w:gridCol w:w="109"/>
        <w:gridCol w:w="109"/>
        <w:gridCol w:w="388"/>
        <w:gridCol w:w="860"/>
        <w:gridCol w:w="291"/>
      </w:tblGrid>
      <w:tr>
        <w:trPr/>
        <w:tc>
          <w:tcPr>
            <w:tcW w:w="9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Increase (decrease)</w:t>
            </w:r>
            <w:r>
              <w:rPr>
                <w:rFonts w:ascii="Times New Roman;serif" w:hAnsi="Times New Roman;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Mucci Promissory Note</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Cannasoul Collaboration Loan</w:t>
            </w:r>
          </w:p>
        </w:tc>
        <w:tc>
          <w:tcPr>
            <w:tcW w:w="1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During the three and six months ended June 30, 2026, $18 and $12, respectively, were recorded as decreases to general and administrative expenses on the condensed consolidated statements of net income (loss) and comprehensive income (loss) as a result of adjustments to our expected credit losses. During the three and six months ended June 30, 2026, $108 and $214, respectively, were recorded as changes in allowance for credit loss on non-operating loan on the condensed consolidated statements of net income (loss) and comprehensive income (loss) as a result of adjustments to our allowance for expected credit loss on the High Tide Loan.</w:t>
      </w:r>
    </w:p>
    <w:p>
      <w:pPr>
        <w:pStyle w:val="TextBody"/>
        <w:bidi w:val="0"/>
        <w:spacing w:lineRule="auto" w:line="288" w:before="60" w:after="60"/>
        <w:ind w:left="0" w:right="0" w:hanging="540"/>
        <w:jc w:val="both"/>
        <w:rPr/>
      </w:pPr>
      <w:r>
        <w:rPr>
          <w:rFonts w:ascii="Times New Roman;serif" w:hAnsi="Times New Roman;serif"/>
          <w:b w:val="false"/>
          <w:color w:val="000000"/>
          <w:sz w:val="10"/>
        </w:rPr>
        <w:t>(ii)</w:t>
      </w:r>
      <w:r>
        <w:rPr>
          <w:rFonts w:ascii="Times New Roman;serif" w:hAnsi="Times New Roman;serif"/>
          <w:b w:val="false"/>
          <w:color w:val="000000"/>
          <w:sz w:val="16"/>
        </w:rPr>
        <w:t>During the three and six months ended June 30, 2025, $20 and $11, respectively, were recorded as decreases to general and administrative expenses on the condensed consolidated statements of net income (loss) and comprehensive income (loss) as a result of adjustments to our expected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5. Property, Plant and Equipment,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7419" w:type="dxa"/>
        <w:jc w:val="left"/>
        <w:tblInd w:w="0" w:type="dxa"/>
        <w:tblLayout w:type="fixed"/>
        <w:tblCellMar>
          <w:top w:w="28" w:type="dxa"/>
          <w:left w:w="28" w:type="dxa"/>
          <w:bottom w:w="28" w:type="dxa"/>
          <w:right w:w="28" w:type="dxa"/>
        </w:tblCellMar>
      </w:tblPr>
      <w:tblGrid>
        <w:gridCol w:w="1171"/>
        <w:gridCol w:w="1033"/>
        <w:gridCol w:w="1051"/>
        <w:gridCol w:w="109"/>
        <w:gridCol w:w="109"/>
        <w:gridCol w:w="109"/>
        <w:gridCol w:w="284"/>
        <w:gridCol w:w="1114"/>
        <w:gridCol w:w="147"/>
        <w:gridCol w:w="109"/>
        <w:gridCol w:w="109"/>
        <w:gridCol w:w="109"/>
        <w:gridCol w:w="348"/>
        <w:gridCol w:w="1363"/>
        <w:gridCol w:w="254"/>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295,326 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(106,822)</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141,539 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145,865 </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depreciation expense on property, plant and equipment was $3,015 and $6,219, respectively. For the three and six months ended June 30, 2025, depreciation expense on property, plant and equipment was $3,467 and $5,611, respectively. This depreciation expense was included in cost of sales as well as depreciation and amortization in operating expenses on the condensed consolidated statements of net income (loss)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$3,470 and $760, respectively, of unpaid purchases of property, plant and equipment accrued in accounts payable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6. Goodwill and Intangible Assets, net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    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is comprised of the following items as of June 30, 2026 and December 31, 2025:</w:t>
      </w:r>
    </w:p>
    <w:tbl>
      <w:tblPr>
        <w:tblW w:w="6799" w:type="dxa"/>
        <w:jc w:val="left"/>
        <w:tblInd w:w="0" w:type="dxa"/>
        <w:tblLayout w:type="fixed"/>
        <w:tblCellMar>
          <w:top w:w="28" w:type="dxa"/>
          <w:left w:w="28" w:type="dxa"/>
          <w:bottom w:w="28" w:type="dxa"/>
          <w:right w:w="28" w:type="dxa"/>
        </w:tblCellMar>
      </w:tblPr>
      <w:tblGrid>
        <w:gridCol w:w="515"/>
        <w:gridCol w:w="453"/>
        <w:gridCol w:w="456"/>
        <w:gridCol w:w="211"/>
        <w:gridCol w:w="721"/>
        <w:gridCol w:w="109"/>
        <w:gridCol w:w="109"/>
        <w:gridCol w:w="109"/>
        <w:gridCol w:w="109"/>
        <w:gridCol w:w="753"/>
        <w:gridCol w:w="1449"/>
        <w:gridCol w:w="392"/>
        <w:gridCol w:w="109"/>
        <w:gridCol w:w="109"/>
        <w:gridCol w:w="109"/>
        <w:gridCol w:w="211"/>
        <w:gridCol w:w="72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14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Charges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Peace Naturals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Cronos GrowCo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99" w:type="dxa"/>
        <w:jc w:val="left"/>
        <w:tblInd w:w="0" w:type="dxa"/>
        <w:tblLayout w:type="fixed"/>
        <w:tblCellMar>
          <w:top w:w="28" w:type="dxa"/>
          <w:left w:w="28" w:type="dxa"/>
          <w:bottom w:w="28" w:type="dxa"/>
          <w:right w:w="28" w:type="dxa"/>
        </w:tblCellMar>
      </w:tblPr>
      <w:tblGrid>
        <w:gridCol w:w="515"/>
        <w:gridCol w:w="453"/>
        <w:gridCol w:w="456"/>
        <w:gridCol w:w="211"/>
        <w:gridCol w:w="721"/>
        <w:gridCol w:w="109"/>
        <w:gridCol w:w="109"/>
        <w:gridCol w:w="109"/>
        <w:gridCol w:w="109"/>
        <w:gridCol w:w="753"/>
        <w:gridCol w:w="1449"/>
        <w:gridCol w:w="392"/>
        <w:gridCol w:w="109"/>
        <w:gridCol w:w="109"/>
        <w:gridCol w:w="109"/>
        <w:gridCol w:w="211"/>
        <w:gridCol w:w="721"/>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42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Charges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Peace Naturals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Cronos GrowCo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(b)    Intangible assets,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net are comprised of the following items as of June 30, 2026 and December 31, 2025:</w:t>
      </w:r>
    </w:p>
    <w:tbl>
      <w:tblPr>
        <w:tblW w:w="10205" w:type="dxa"/>
        <w:jc w:val="left"/>
        <w:tblInd w:w="0" w:type="dxa"/>
        <w:tblLayout w:type="fixed"/>
        <w:tblCellMar>
          <w:top w:w="28" w:type="dxa"/>
          <w:left w:w="28" w:type="dxa"/>
          <w:bottom w:w="28" w:type="dxa"/>
          <w:right w:w="28" w:type="dxa"/>
        </w:tblCellMar>
      </w:tblPr>
      <w:tblGrid>
        <w:gridCol w:w="1077"/>
        <w:gridCol w:w="908"/>
        <w:gridCol w:w="913"/>
        <w:gridCol w:w="211"/>
        <w:gridCol w:w="721"/>
        <w:gridCol w:w="109"/>
        <w:gridCol w:w="109"/>
        <w:gridCol w:w="109"/>
        <w:gridCol w:w="109"/>
        <w:gridCol w:w="427"/>
        <w:gridCol w:w="1281"/>
        <w:gridCol w:w="221"/>
        <w:gridCol w:w="109"/>
        <w:gridCol w:w="109"/>
        <w:gridCol w:w="109"/>
        <w:gridCol w:w="449"/>
        <w:gridCol w:w="1690"/>
        <w:gridCol w:w="231"/>
        <w:gridCol w:w="109"/>
        <w:gridCol w:w="109"/>
        <w:gridCol w:w="109"/>
        <w:gridCol w:w="211"/>
        <w:gridCol w:w="616"/>
        <w:gridCol w:w="159"/>
      </w:tblGrid>
      <w:tr>
        <w:trPr/>
        <w:tc>
          <w:tcPr>
            <w:tcW w:w="107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charges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 Canada licenses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Israeli codes</w:t>
            </w:r>
            <w:r>
              <w:rPr>
                <w:rFonts w:ascii="Times New Roman;serif" w:hAnsi="Times New Roman;serif"/>
                <w:b w:val="false"/>
                <w:color w:val="000000"/>
                <w:sz w:val="13"/>
              </w:rPr>
              <w:t>(i)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Know-how</w:t>
            </w:r>
            <w:r>
              <w:rPr>
                <w:rFonts w:ascii="Times New Roman;serif" w:hAnsi="Times New Roman;serif"/>
                <w:b w:val="false"/>
                <w:color w:val="000000"/>
                <w:sz w:val="13"/>
              </w:rPr>
              <w:t>(ii)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Lord Jones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(63,200)</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(69,619)</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77"/>
        <w:gridCol w:w="908"/>
        <w:gridCol w:w="913"/>
        <w:gridCol w:w="211"/>
        <w:gridCol w:w="721"/>
        <w:gridCol w:w="109"/>
        <w:gridCol w:w="109"/>
        <w:gridCol w:w="109"/>
        <w:gridCol w:w="109"/>
        <w:gridCol w:w="427"/>
        <w:gridCol w:w="1281"/>
        <w:gridCol w:w="221"/>
        <w:gridCol w:w="109"/>
        <w:gridCol w:w="109"/>
        <w:gridCol w:w="109"/>
        <w:gridCol w:w="449"/>
        <w:gridCol w:w="1690"/>
        <w:gridCol w:w="231"/>
        <w:gridCol w:w="109"/>
        <w:gridCol w:w="109"/>
        <w:gridCol w:w="109"/>
        <w:gridCol w:w="211"/>
        <w:gridCol w:w="616"/>
        <w:gridCol w:w="159"/>
      </w:tblGrid>
      <w:tr>
        <w:trPr/>
        <w:tc>
          <w:tcPr>
            <w:tcW w:w="107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98"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8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impairment charges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Health Canada licenses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Israeli codes</w:t>
            </w:r>
            <w:r>
              <w:rPr>
                <w:rFonts w:ascii="Times New Roman;serif" w:hAnsi="Times New Roman;serif"/>
                <w:b w:val="false"/>
                <w:color w:val="000000"/>
                <w:sz w:val="13"/>
              </w:rPr>
              <w:t>(i)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Know-how</w:t>
            </w:r>
            <w:r>
              <w:rPr>
                <w:rFonts w:ascii="Times New Roman;serif" w:hAnsi="Times New Roman;serif"/>
                <w:b w:val="false"/>
                <w:color w:val="000000"/>
                <w:sz w:val="13"/>
              </w:rPr>
              <w:t>(ii)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Lord Jones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(63,200)</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(69,890)</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The Israeli codes were transferred by non-controlling interests to Cronos Israel in exchange for their equity interests in the Cronos Israel entities.</w:t>
      </w:r>
    </w:p>
    <w:p>
      <w:pPr>
        <w:pStyle w:val="TextBody"/>
        <w:bidi w:val="0"/>
        <w:spacing w:lineRule="auto" w:line="288" w:before="120" w:after="120"/>
        <w:ind w:left="0" w:right="0" w:hanging="540"/>
        <w:jc w:val="both"/>
        <w:rPr/>
      </w:pPr>
      <w:r>
        <w:rPr>
          <w:rFonts w:ascii="Times New Roman;serif" w:hAnsi="Times New Roman;serif"/>
          <w:b w:val="false"/>
          <w:color w:val="000000"/>
          <w:sz w:val="10"/>
        </w:rPr>
        <w:t>(ii)</w:t>
      </w:r>
      <w:r>
        <w:rPr>
          <w:rFonts w:ascii="Times New Roman;serif" w:hAnsi="Times New Roman;serif"/>
          <w:b w:val="false"/>
          <w:color w:val="000000"/>
          <w:sz w:val="16"/>
        </w:rPr>
        <w:t>Know-how was acquired as part of the Cronos GrowCo Transaction. Amortization costs associated with the know-how intangible asset are recorded to cost of sales on the condensed consolidated statements of net income (loss)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future amortization of definite-lived intangible assets is as follows:</w:t>
      </w:r>
    </w:p>
    <w:tbl>
      <w:tblPr>
        <w:tblW w:w="4511"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342"/>
        <w:gridCol w:w="999"/>
        <w:gridCol w:w="24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 (6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7. Restructuring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2022, the Company initiated a strategic plan to realign the business around its brands, centralize functions and evaluate the Company’s supply chain (the “Realignment”). As part of the Realignment, on February 28, 2022, the Company’s Board of Directors (the “Board”) approved plans to leverage the Company’s strategic partnerships to improve supply chain efficiencies and reduce manufacturing overhead by exiting its production facility in Stayner, Ontario, Canada (the “Peace Naturals Campus”). On February 27, 2023, the Board approved revisions to the Realignment, under which the Company was maintaining select components of its operations at the Peace Naturals Campus, namely distribution warehousing, certain research and development activities and manufacturing of certain of the Company’s products. In the third quarter of 2023, the Board approved revisions to the Realignment to wind-down operations at the Company’s Winnipeg, Manitoba facility (the “Cronos Fermentation Facility”), list the Cronos Fermentation Facility assets for sale (the “Cronos Fermentation Held-For-Sale Assets Group”), and implement additional organization-wide cost reductions as the Company continues its Realignment initiatives. On November 26, 2023, the Company entered into an agreement for the sale and leaseback of the Peace Naturals Campus, which was subsequently terminated pursuant to its terms during the second quarter of 2024. The Company plans to continue and expand operations at the Peace Naturals Campus. In the first quarter of 2025, the Company continued its Realignment initiatives to transform its IT infrastructure and finance departments to drive long-term cost efficiencies, improve cross-functional collaboration, and support global scalability. These actions included leadership transitions, consolidation of certain roles, and assessment of, and investment in, critical IT infrastructure. The Realignment initiatives are intended to position the Company to drive profitable and sustainable growth over time.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incurred $308 and $792, respectively, of restructuring costs in connection with the Realignment. During the three and six months ended June 30, 2025, the Company incurred $768 and $1,323, respectively, of restructuring costs in connection with the Realignment. Charges related thereto include employee-related costs such as severance and other termination benefits, as well as IT infrastructure and finance transformation costs associated with the Realignment.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restructuring activity for the three and six months ended June 30, 2026 and three and six months ended June 30, 2025:</w:t>
      </w:r>
    </w:p>
    <w:tbl>
      <w:tblPr>
        <w:tblW w:w="10205" w:type="dxa"/>
        <w:jc w:val="left"/>
        <w:tblInd w:w="0" w:type="dxa"/>
        <w:tblLayout w:type="fixed"/>
        <w:tblCellMar>
          <w:top w:w="28" w:type="dxa"/>
          <w:left w:w="28" w:type="dxa"/>
          <w:bottom w:w="28" w:type="dxa"/>
          <w:right w:w="28" w:type="dxa"/>
        </w:tblCellMar>
      </w:tblPr>
      <w:tblGrid>
        <w:gridCol w:w="953"/>
        <w:gridCol w:w="830"/>
        <w:gridCol w:w="835"/>
        <w:gridCol w:w="581"/>
        <w:gridCol w:w="1288"/>
        <w:gridCol w:w="304"/>
        <w:gridCol w:w="109"/>
        <w:gridCol w:w="109"/>
        <w:gridCol w:w="109"/>
        <w:gridCol w:w="211"/>
        <w:gridCol w:w="466"/>
        <w:gridCol w:w="109"/>
        <w:gridCol w:w="109"/>
        <w:gridCol w:w="109"/>
        <w:gridCol w:w="109"/>
        <w:gridCol w:w="381"/>
        <w:gridCol w:w="978"/>
        <w:gridCol w:w="196"/>
        <w:gridCol w:w="109"/>
        <w:gridCol w:w="109"/>
        <w:gridCol w:w="109"/>
        <w:gridCol w:w="529"/>
        <w:gridCol w:w="1171"/>
        <w:gridCol w:w="392"/>
      </w:tblGrid>
      <w:tr>
        <w:trPr/>
        <w:tc>
          <w:tcPr>
            <w:tcW w:w="9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June 30, 2026</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Costs</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0"/>
        <w:gridCol w:w="806"/>
        <w:gridCol w:w="810"/>
        <w:gridCol w:w="629"/>
        <w:gridCol w:w="1389"/>
        <w:gridCol w:w="326"/>
        <w:gridCol w:w="109"/>
        <w:gridCol w:w="109"/>
        <w:gridCol w:w="109"/>
        <w:gridCol w:w="211"/>
        <w:gridCol w:w="466"/>
        <w:gridCol w:w="109"/>
        <w:gridCol w:w="109"/>
        <w:gridCol w:w="109"/>
        <w:gridCol w:w="109"/>
        <w:gridCol w:w="372"/>
        <w:gridCol w:w="955"/>
        <w:gridCol w:w="192"/>
        <w:gridCol w:w="109"/>
        <w:gridCol w:w="109"/>
        <w:gridCol w:w="109"/>
        <w:gridCol w:w="513"/>
        <w:gridCol w:w="1135"/>
        <w:gridCol w:w="381"/>
      </w:tblGrid>
      <w:tr>
        <w:trPr/>
        <w:tc>
          <w:tcPr>
            <w:tcW w:w="9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June 30, 2026</w:t>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Costs</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3"/>
        <w:gridCol w:w="830"/>
        <w:gridCol w:w="835"/>
        <w:gridCol w:w="581"/>
        <w:gridCol w:w="1288"/>
        <w:gridCol w:w="304"/>
        <w:gridCol w:w="109"/>
        <w:gridCol w:w="109"/>
        <w:gridCol w:w="109"/>
        <w:gridCol w:w="211"/>
        <w:gridCol w:w="466"/>
        <w:gridCol w:w="109"/>
        <w:gridCol w:w="109"/>
        <w:gridCol w:w="109"/>
        <w:gridCol w:w="109"/>
        <w:gridCol w:w="381"/>
        <w:gridCol w:w="978"/>
        <w:gridCol w:w="196"/>
        <w:gridCol w:w="109"/>
        <w:gridCol w:w="109"/>
        <w:gridCol w:w="109"/>
        <w:gridCol w:w="529"/>
        <w:gridCol w:w="1171"/>
        <w:gridCol w:w="392"/>
      </w:tblGrid>
      <w:tr>
        <w:trPr/>
        <w:tc>
          <w:tcPr>
            <w:tcW w:w="95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June 30, 2025</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Costs</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5"/>
        <w:gridCol w:w="789"/>
        <w:gridCol w:w="794"/>
        <w:gridCol w:w="667"/>
        <w:gridCol w:w="1284"/>
        <w:gridCol w:w="347"/>
        <w:gridCol w:w="109"/>
        <w:gridCol w:w="109"/>
        <w:gridCol w:w="109"/>
        <w:gridCol w:w="211"/>
        <w:gridCol w:w="616"/>
        <w:gridCol w:w="109"/>
        <w:gridCol w:w="109"/>
        <w:gridCol w:w="109"/>
        <w:gridCol w:w="109"/>
        <w:gridCol w:w="316"/>
        <w:gridCol w:w="1029"/>
        <w:gridCol w:w="163"/>
        <w:gridCol w:w="109"/>
        <w:gridCol w:w="109"/>
        <w:gridCol w:w="109"/>
        <w:gridCol w:w="502"/>
        <w:gridCol w:w="1110"/>
        <w:gridCol w:w="372"/>
      </w:tblGrid>
      <w:tr>
        <w:trPr/>
        <w:tc>
          <w:tcPr>
            <w:tcW w:w="91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as of June 30, 2025</w:t>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Costs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8. Share-based Compensation</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(a)Share-based award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granted stock options, restricted share units (“RSUs”) and deferred share units (“DSUs”) to employees and non-employee directors under the 2020 Omnibus Equity Incentive Plan dated March 29, 2020 (the “2020 Omnibus Plan”) and the DSU Plan dated August 10, 2019 (the “DSU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share-based compensation expense associated with the Company’s stock options, RSUs and DSUs for the three and six months ended June 30, 2026 and 2025:</w:t>
      </w:r>
    </w:p>
    <w:tbl>
      <w:tblPr>
        <w:tblW w:w="7521" w:type="dxa"/>
        <w:jc w:val="left"/>
        <w:tblInd w:w="0" w:type="dxa"/>
        <w:tblLayout w:type="fixed"/>
        <w:tblCellMar>
          <w:top w:w="28" w:type="dxa"/>
          <w:left w:w="28" w:type="dxa"/>
          <w:bottom w:w="28" w:type="dxa"/>
          <w:right w:w="28" w:type="dxa"/>
        </w:tblCellMar>
      </w:tblPr>
      <w:tblGrid>
        <w:gridCol w:w="985"/>
        <w:gridCol w:w="866"/>
        <w:gridCol w:w="87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DSUs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Share-based compensation for the three and six months ended June 30, 2026 included a loss of $221 and a loss of $178, respectively, associated with the revaluation of the Company’s DSUs. For the three and six months ended June 30, 2025, a loss of $7 and a gain of $109, respectively, was included in revaluation of financial instruments in the Company’s condensed consolidated statements of net income (loss) and comprehensive income (loss), related to the revaluation of DSUs.</w:t>
      </w:r>
    </w:p>
    <w:p>
      <w:pPr>
        <w:pStyle w:val="TextBody"/>
        <w:bidi w:val="0"/>
        <w:spacing w:lineRule="auto" w:line="288" w:before="120" w:after="120"/>
        <w:ind w:left="0" w:right="0" w:hanging="720"/>
        <w:jc w:val="both"/>
        <w:rPr>
          <w:rFonts w:ascii="Times New Roman;serif" w:hAnsi="Times New Roman;serif"/>
          <w:b/>
          <w:color w:val="000000"/>
          <w:sz w:val="20"/>
        </w:rPr>
      </w:pPr>
      <w:r>
        <w:rPr>
          <w:rFonts w:ascii="Times New Roman;serif" w:hAnsi="Times New Roman;serif"/>
          <w:b/>
          <w:color w:val="000000"/>
          <w:sz w:val="20"/>
        </w:rPr>
        <w:t>(b)Stock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Vesting conditions for grants of options are determined by the Compensation Committee of the Board. The typical vesting for stock option grants made under the 2020 Omnibus Plan is annual vesting over three to five years with a maximum term of ten years. The 2020 Omnibus Plan does not authorize grants of options with an exercise price below fair market value.</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stock options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864"/>
        <w:gridCol w:w="724"/>
        <w:gridCol w:w="729"/>
        <w:gridCol w:w="644"/>
        <w:gridCol w:w="1563"/>
        <w:gridCol w:w="334"/>
        <w:gridCol w:w="109"/>
        <w:gridCol w:w="109"/>
        <w:gridCol w:w="109"/>
        <w:gridCol w:w="484"/>
        <w:gridCol w:w="443"/>
        <w:gridCol w:w="413"/>
        <w:gridCol w:w="109"/>
        <w:gridCol w:w="109"/>
        <w:gridCol w:w="109"/>
        <w:gridCol w:w="980"/>
        <w:gridCol w:w="980"/>
        <w:gridCol w:w="1393"/>
      </w:tblGrid>
      <w:tr>
        <w:trPr/>
        <w:tc>
          <w:tcPr>
            <w:tcW w:w="86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Weighted-average exercise price (C$)</w:t>
            </w:r>
            <w:r>
              <w:rPr>
                <w:color w:val="000000"/>
              </w:rPr>
              <w:t xml:space="preserve"> </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6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553,007 </w:t>
            </w:r>
          </w:p>
        </w:tc>
        <w:tc>
          <w:tcPr>
            <w:tcW w:w="4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r>
    </w:tbl>
    <w:tbl>
      <w:tblPr>
        <w:tblW w:w="10205" w:type="dxa"/>
        <w:jc w:val="left"/>
        <w:tblInd w:w="0" w:type="dxa"/>
        <w:tblLayout w:type="fixed"/>
        <w:tblCellMar>
          <w:top w:w="28" w:type="dxa"/>
          <w:left w:w="28" w:type="dxa"/>
          <w:bottom w:w="28" w:type="dxa"/>
          <w:right w:w="28" w:type="dxa"/>
        </w:tblCellMar>
      </w:tblPr>
      <w:tblGrid>
        <w:gridCol w:w="864"/>
        <w:gridCol w:w="724"/>
        <w:gridCol w:w="729"/>
        <w:gridCol w:w="644"/>
        <w:gridCol w:w="1563"/>
        <w:gridCol w:w="334"/>
        <w:gridCol w:w="109"/>
        <w:gridCol w:w="109"/>
        <w:gridCol w:w="109"/>
        <w:gridCol w:w="484"/>
        <w:gridCol w:w="443"/>
        <w:gridCol w:w="413"/>
        <w:gridCol w:w="109"/>
        <w:gridCol w:w="109"/>
        <w:gridCol w:w="109"/>
        <w:gridCol w:w="980"/>
        <w:gridCol w:w="980"/>
        <w:gridCol w:w="1393"/>
      </w:tblGrid>
      <w:tr>
        <w:trPr/>
        <w:tc>
          <w:tcPr>
            <w:tcW w:w="86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Weighted-average exercise price (C$)</w:t>
            </w:r>
            <w:r>
              <w:rPr>
                <w:color w:val="000000"/>
              </w:rPr>
              <w:t xml:space="preserve"> </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(years)</w:t>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717,264 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3" w:type="dxa"/>
            <w:gridSpan w:val="3"/>
            <w:tcBorders/>
            <w:vAlign w:val="center"/>
          </w:tcPr>
          <w:p>
            <w:pPr>
              <w:pStyle w:val="TableContents"/>
              <w:bidi w:val="0"/>
              <w:spacing w:before="0" w:after="283"/>
              <w:jc w:val="left"/>
              <w:rPr>
                <w:sz w:val="4"/>
                <w:szCs w:val="4"/>
              </w:rPr>
            </w:pPr>
            <w:r>
              <w:rPr>
                <w:sz w:val="4"/>
                <w:szCs w:val="4"/>
              </w:rPr>
            </w:r>
          </w:p>
        </w:tc>
      </w:tr>
      <w:tr>
        <w:trPr/>
        <w:tc>
          <w:tcPr>
            <w:tcW w:w="2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717,264 </w:t>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r>
      <w:tr>
        <w:trPr/>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6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33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634,875 </w:t>
            </w:r>
          </w:p>
        </w:tc>
        <w:tc>
          <w:tcPr>
            <w:tcW w:w="4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r>
    </w:tbl>
    <w:p>
      <w:pPr>
        <w:pStyle w:val="TextBody"/>
        <w:bidi w:val="0"/>
        <w:spacing w:lineRule="auto" w:line="288" w:before="60" w:after="60"/>
        <w:ind w:left="0" w:right="0" w:hanging="360"/>
        <w:jc w:val="both"/>
        <w:rPr/>
      </w:pPr>
      <w:r>
        <w:rPr>
          <w:rFonts w:ascii="Times New Roman;serif" w:hAnsi="Times New Roman;serif"/>
          <w:b w:val="false"/>
          <w:color w:val="000000"/>
          <w:sz w:val="10"/>
        </w:rPr>
        <w:t>(i)</w:t>
      </w:r>
      <w:r>
        <w:rPr>
          <w:rFonts w:ascii="Times New Roman;serif" w:hAnsi="Times New Roman;serif"/>
          <w:b w:val="false"/>
          <w:color w:val="000000"/>
          <w:sz w:val="16"/>
        </w:rPr>
        <w:t xml:space="preserve">The weighted-average exercise price reflects the conversion of foreign currency-denominated stock options translated into C$ using the average foreign exchange rate as of the date of issuance.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outstanding:</w:t>
      </w:r>
    </w:p>
    <w:tbl>
      <w:tblPr>
        <w:tblW w:w="6986" w:type="dxa"/>
        <w:jc w:val="left"/>
        <w:tblInd w:w="0" w:type="dxa"/>
        <w:tblLayout w:type="fixed"/>
        <w:tblCellMar>
          <w:top w:w="28" w:type="dxa"/>
          <w:left w:w="28" w:type="dxa"/>
          <w:bottom w:w="28" w:type="dxa"/>
          <w:right w:w="28" w:type="dxa"/>
        </w:tblCellMar>
      </w:tblPr>
      <w:tblGrid>
        <w:gridCol w:w="984"/>
        <w:gridCol w:w="862"/>
        <w:gridCol w:w="869"/>
        <w:gridCol w:w="514"/>
        <w:gridCol w:w="514"/>
        <w:gridCol w:w="516"/>
        <w:gridCol w:w="109"/>
        <w:gridCol w:w="109"/>
        <w:gridCol w:w="109"/>
        <w:gridCol w:w="639"/>
        <w:gridCol w:w="639"/>
        <w:gridCol w:w="641"/>
        <w:gridCol w:w="109"/>
        <w:gridCol w:w="109"/>
        <w:gridCol w:w="109"/>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Omnibus Plan</w:t>
            </w:r>
          </w:p>
        </w:tc>
        <w:tc>
          <w:tcPr>
            <w:tcW w:w="10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options outstanding</w:t>
            </w:r>
          </w:p>
        </w:tc>
        <w:tc>
          <w:tcPr>
            <w:tcW w:w="10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5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588,317 </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pPr>
      <w:r>
        <w:rPr>
          <w:rFonts w:ascii="Times New Roman;serif" w:hAnsi="Times New Roman;serif"/>
          <w:b/>
          <w:color w:val="000000"/>
          <w:sz w:val="20"/>
        </w:rPr>
        <w:t>(c)</w:t>
      </w:r>
      <w:r>
        <w:rPr>
          <w:rFonts w:ascii="Times New Roman;serif" w:hAnsi="Times New Roman;serif"/>
          <w:b/>
          <w:color w:val="000000"/>
          <w:sz w:val="20"/>
        </w:rPr>
        <w:t>Restricted share units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RSUs for the six months ended June 30, 2026 and 2025:</w:t>
      </w:r>
    </w:p>
    <w:tbl>
      <w:tblPr>
        <w:tblW w:w="8257" w:type="dxa"/>
        <w:jc w:val="left"/>
        <w:tblInd w:w="0" w:type="dxa"/>
        <w:tblLayout w:type="fixed"/>
        <w:tblCellMar>
          <w:top w:w="28" w:type="dxa"/>
          <w:left w:w="28" w:type="dxa"/>
          <w:bottom w:w="28" w:type="dxa"/>
          <w:right w:w="28" w:type="dxa"/>
        </w:tblCellMar>
      </w:tblPr>
      <w:tblGrid>
        <w:gridCol w:w="1021"/>
        <w:gridCol w:w="896"/>
        <w:gridCol w:w="902"/>
        <w:gridCol w:w="885"/>
        <w:gridCol w:w="2149"/>
        <w:gridCol w:w="460"/>
        <w:gridCol w:w="109"/>
        <w:gridCol w:w="109"/>
        <w:gridCol w:w="109"/>
        <w:gridCol w:w="524"/>
        <w:gridCol w:w="526"/>
        <w:gridCol w:w="567"/>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Weighted-average grant date fair value (C$)</w:t>
            </w:r>
            <w:r>
              <w:rPr>
                <w:rFonts w:ascii="Times New Roman;serif" w:hAnsi="Times New Roman;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5,385,106 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(i)</w:t>
            </w:r>
          </w:p>
        </w:tc>
        <w:tc>
          <w:tcPr>
            <w:tcW w:w="3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2,043,367 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3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(2,170,748)</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and forfeitures</w:t>
            </w:r>
          </w:p>
        </w:tc>
        <w:tc>
          <w:tcPr>
            <w:tcW w:w="3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(124,144)</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5,133,581 </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57" w:type="dxa"/>
        <w:jc w:val="left"/>
        <w:tblInd w:w="0" w:type="dxa"/>
        <w:tblLayout w:type="fixed"/>
        <w:tblCellMar>
          <w:top w:w="28" w:type="dxa"/>
          <w:left w:w="28" w:type="dxa"/>
          <w:bottom w:w="28" w:type="dxa"/>
          <w:right w:w="28" w:type="dxa"/>
        </w:tblCellMar>
      </w:tblPr>
      <w:tblGrid>
        <w:gridCol w:w="1021"/>
        <w:gridCol w:w="896"/>
        <w:gridCol w:w="902"/>
        <w:gridCol w:w="885"/>
        <w:gridCol w:w="2149"/>
        <w:gridCol w:w="460"/>
        <w:gridCol w:w="109"/>
        <w:gridCol w:w="109"/>
        <w:gridCol w:w="109"/>
        <w:gridCol w:w="524"/>
        <w:gridCol w:w="526"/>
        <w:gridCol w:w="567"/>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Weighted-average grant date fair value (C$)</w:t>
            </w:r>
            <w:r>
              <w:rPr>
                <w:rFonts w:ascii="Times New Roman;serif" w:hAnsi="Times New Roman;serif"/>
                <w:b/>
                <w:color w:val="000000"/>
                <w:sz w:val="1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8,382,213 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(i)</w:t>
            </w:r>
          </w:p>
        </w:tc>
        <w:tc>
          <w:tcPr>
            <w:tcW w:w="3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2,633,793 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issued</w:t>
            </w:r>
          </w:p>
        </w:tc>
        <w:tc>
          <w:tcPr>
            <w:tcW w:w="3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(4,844,056)</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and forfeitures</w:t>
            </w:r>
          </w:p>
        </w:tc>
        <w:tc>
          <w:tcPr>
            <w:tcW w:w="3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(508,967)</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8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4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5,662,983 </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0"/>
        </w:rPr>
        <w:t>(i)</w:t>
      </w:r>
      <w:r>
        <w:rPr>
          <w:rFonts w:ascii="Times New Roman;serif" w:hAnsi="Times New Roman;serif"/>
          <w:b w:val="false"/>
          <w:color w:val="000000"/>
          <w:sz w:val="16"/>
        </w:rPr>
        <w:t>RSUs granted in the period vest annually in equal installments over a three-year period from the grant date. All RSUs are subject to such holder’s continued employment through each vesting date. The vesting of such RSUs is not subject to the achievement of any performance criteria.</w:t>
      </w:r>
    </w:p>
    <w:p>
      <w:pPr>
        <w:pStyle w:val="TextBody"/>
        <w:bidi w:val="0"/>
        <w:spacing w:lineRule="auto" w:line="288" w:before="60" w:after="60"/>
        <w:ind w:left="0" w:right="0" w:hanging="360"/>
        <w:jc w:val="both"/>
        <w:rPr/>
      </w:pPr>
      <w:r>
        <w:rPr>
          <w:rFonts w:ascii="Times New Roman;serif" w:hAnsi="Times New Roman;serif"/>
          <w:b w:val="false"/>
          <w:color w:val="000000"/>
          <w:sz w:val="10"/>
        </w:rPr>
        <w:t>(ii)</w:t>
      </w:r>
      <w:r>
        <w:rPr>
          <w:rFonts w:ascii="Times New Roman;serif" w:hAnsi="Times New Roman;serif"/>
          <w:b w:val="false"/>
          <w:color w:val="000000"/>
          <w:sz w:val="16"/>
        </w:rPr>
        <w:t>The weighted-average grant date fair value reflects the conversion of foreign currency-denominated RSUs translated into C$ using the foreign exchange rate as of the date of issuance.</w:t>
      </w:r>
    </w:p>
    <w:p>
      <w:pPr>
        <w:pStyle w:val="TextBody"/>
        <w:bidi w:val="0"/>
        <w:spacing w:lineRule="auto" w:line="288" w:before="120" w:after="120"/>
        <w:jc w:val="both"/>
        <w:rPr/>
      </w:pPr>
      <w:r>
        <w:rPr>
          <w:rFonts w:ascii="Times New Roman;serif" w:hAnsi="Times New Roman;serif"/>
          <w:b/>
          <w:color w:val="000000"/>
          <w:sz w:val="20"/>
        </w:rPr>
        <w:t>(d)</w:t>
      </w:r>
      <w:r>
        <w:rPr>
          <w:rFonts w:ascii="Times New Roman;serif" w:hAnsi="Times New Roman;serif"/>
          <w:b/>
          <w:color w:val="000000"/>
          <w:sz w:val="20"/>
        </w:rPr>
        <w:t>Deferred share units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DSUs for the six months ended June 30, 2026 and 2025:</w:t>
      </w:r>
    </w:p>
    <w:tbl>
      <w:tblPr>
        <w:tblW w:w="5918" w:type="dxa"/>
        <w:jc w:val="left"/>
        <w:tblInd w:w="0" w:type="dxa"/>
        <w:tblLayout w:type="fixed"/>
        <w:tblCellMar>
          <w:top w:w="28" w:type="dxa"/>
          <w:left w:w="28" w:type="dxa"/>
          <w:bottom w:w="28" w:type="dxa"/>
          <w:right w:w="28" w:type="dxa"/>
        </w:tblCellMar>
      </w:tblPr>
      <w:tblGrid>
        <w:gridCol w:w="1021"/>
        <w:gridCol w:w="896"/>
        <w:gridCol w:w="902"/>
        <w:gridCol w:w="311"/>
        <w:gridCol w:w="908"/>
        <w:gridCol w:w="160"/>
        <w:gridCol w:w="109"/>
        <w:gridCol w:w="109"/>
        <w:gridCol w:w="109"/>
        <w:gridCol w:w="413"/>
        <w:gridCol w:w="413"/>
        <w:gridCol w:w="567"/>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DSUs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758,499 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revaluation</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effect</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758,499 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18" w:type="dxa"/>
        <w:jc w:val="left"/>
        <w:tblInd w:w="0" w:type="dxa"/>
        <w:tblLayout w:type="fixed"/>
        <w:tblCellMar>
          <w:top w:w="28" w:type="dxa"/>
          <w:left w:w="28" w:type="dxa"/>
          <w:bottom w:w="28" w:type="dxa"/>
          <w:right w:w="28" w:type="dxa"/>
        </w:tblCellMar>
      </w:tblPr>
      <w:tblGrid>
        <w:gridCol w:w="1021"/>
        <w:gridCol w:w="896"/>
        <w:gridCol w:w="902"/>
        <w:gridCol w:w="311"/>
        <w:gridCol w:w="908"/>
        <w:gridCol w:w="160"/>
        <w:gridCol w:w="109"/>
        <w:gridCol w:w="109"/>
        <w:gridCol w:w="109"/>
        <w:gridCol w:w="413"/>
        <w:gridCol w:w="413"/>
        <w:gridCol w:w="567"/>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DSUs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560,261 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revaluation</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effect</w:t>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560,261 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540"/>
        <w:jc w:val="left"/>
        <w:rPr>
          <w:rFonts w:ascii="Times New Roman;serif" w:hAnsi="Times New Roman;serif"/>
          <w:b/>
          <w:color w:val="000000"/>
          <w:sz w:val="24"/>
        </w:rPr>
      </w:pPr>
      <w:r>
        <w:rPr>
          <w:rFonts w:ascii="Times New Roman;serif" w:hAnsi="Times New Roman;serif"/>
          <w:b/>
          <w:color w:val="000000"/>
          <w:sz w:val="24"/>
        </w:rPr>
        <w:t>9. Share Repurchase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8, 2026, the Board unanimously authorized a share repurchase program (the “Share Repurchase Program”) of up to $50,000, which succeeded the Company’s prior share repurchase program upon its expiration on May 13, 2026. The Share Repurchase Program commenced on May 14, 2026 and is expected to expire on May 13, 2027, unless earlier terminated. Repurchases under the program may be made from time to time, either through open market purchases at then-prevailing market prices through the facilities of the TSX, the Nasdaq or other U.S. or Canadian published markets, privately negotiated transactions or otherwise. Open market repurchases will not exceed 18,712,918 common shares, the maximum amount permitted by applicable Canadian securities laws. The timing and amount of repurchases are subject to market conditions, compliance with applicable laws and regulations and any other factors management of the Company may deem relevant. The program does not obligate Cronos to acquire any specific dollar amount or number of common shares and may be modified, suspended, or discontinued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5,888,170 common shares for $16,128, inclusive of commissions and excise taxes. During the six months ended June 30, 2026, the Company repurchased 12,253,870 common shares for $32,858, inclusive of commissions and excise taxes. All common shares repurchased under the applicable share repurchase program were retired and cancelled upon settlement. As a result, the repurchased common shares were removed from issued and outstanding share capital, reducing the number of common shares outstanding. The value of the retired common shares was charged against share capital and additional paid-in capital. The Company funded the repurchases using available cash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10. Commitments and Contingencies</w:t>
      </w:r>
    </w:p>
    <w:p>
      <w:pPr>
        <w:pStyle w:val="TextBody"/>
        <w:bidi w:val="0"/>
        <w:spacing w:lineRule="auto" w:line="288" w:before="120" w:after="120"/>
        <w:jc w:val="both"/>
        <w:rPr/>
      </w:pPr>
      <w:r>
        <w:rPr>
          <w:rFonts w:ascii="Times New Roman;serif" w:hAnsi="Times New Roman;serif"/>
          <w:b/>
          <w:color w:val="000000"/>
          <w:sz w:val="20"/>
        </w:rPr>
        <w:t>(a)</w:t>
      </w:r>
      <w:r>
        <w:rPr>
          <w:rFonts w:ascii="Times New Roman;serif" w:hAnsi="Times New Roman;serif"/>
          <w:b/>
          <w:color w:val="000000"/>
          <w:sz w:val="20"/>
        </w:rPr>
        <w:t>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information regarding commitments as disclosed in the Company’s Annual Report.</w:t>
      </w:r>
    </w:p>
    <w:p>
      <w:pPr>
        <w:pStyle w:val="TextBody"/>
        <w:bidi w:val="0"/>
        <w:spacing w:lineRule="auto" w:line="288" w:before="120" w:after="120"/>
        <w:jc w:val="both"/>
        <w:rPr/>
      </w:pPr>
      <w:r>
        <w:rPr>
          <w:rFonts w:ascii="Times New Roman;serif" w:hAnsi="Times New Roman;serif"/>
          <w:b/>
          <w:color w:val="000000"/>
          <w:sz w:val="20"/>
        </w:rPr>
        <w:t>(b)</w:t>
      </w:r>
      <w:r>
        <w:rPr>
          <w:rFonts w:ascii="Times New Roman;serif" w:hAnsi="Times New Roman;serif"/>
          <w:b/>
          <w:color w:val="000000"/>
          <w:sz w:val="20"/>
        </w:rPr>
        <w:t>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in the ordinary course of its business and in connection with its marketing, distribution and sale of its products. Many of these legal proceedings are in the early stages of litigation and seek damages that are unspecified or not quantified. Although the outcome of these matters cannot be predicted with certainty, the Company does not believe these legal proceedings, individually or in the aggregate, will have a material adverse effect on its consolidated financial condition but could be material to its results of operations for any particular reporting period depending, in part, on its results for that period.</w:t>
      </w:r>
    </w:p>
    <w:p>
      <w:pPr>
        <w:pStyle w:val="TextBody"/>
        <w:bidi w:val="0"/>
        <w:spacing w:lineRule="auto" w:line="288" w:before="120" w:after="120"/>
        <w:ind w:left="0" w:right="0" w:hanging="360"/>
        <w:jc w:val="both"/>
        <w:rPr>
          <w:rFonts w:ascii="Times New Roman;serif" w:hAnsi="Times New Roman;serif"/>
          <w:b/>
          <w:i/>
          <w:color w:val="000000"/>
          <w:sz w:val="20"/>
        </w:rPr>
      </w:pPr>
      <w:r>
        <w:rPr>
          <w:rFonts w:ascii="Times New Roman;serif" w:hAnsi="Times New Roman;serif"/>
          <w:b/>
          <w:i/>
          <w:color w:val="000000"/>
          <w:sz w:val="20"/>
        </w:rPr>
        <w:t>(i)Class action complaints relating to restatement of 2019 interim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and 12, 2020, two alleged shareholders of the Company separately filed two putative class action complaints in the U.S. District Court for the Eastern District of New York against the Company and its Chief Executive Officer and former Chief Financial Officer. The court consolidated the cases, and the consolidated amended complaint alleges violations of Section 10(b) of the Securities Exchange Act of 1934 (the “Exchange Act”) and Rule 10b-5, promulgated thereunder, against all defendants, and Section 20(a) of the Exchange Act against the individual defendants. The consolidated amended complaint generally alleges that certain of the Company’s prior public statements about revenue and internal controls were incorrect based on the Company’s disclosures relating to the Audit Committee of the Board of Directors’ review of the appropriateness of revenue recognized in connection with certain bulk resin purchases and sales of products through the wholesale channel. The consolidated amended complaint does not quantify a damage request. The defendants moved to dismiss on February 8, 2021. On November 17, 2023, the court entered an order granting the motion and dismissed the case with prejudice. On December 1, 2023, the shareholder plaintiffs sought reconsideration of the dismissal, requesting that the court instead dismiss the action without prejudice and permit the plaintiffs to seek leave to further amend the complaint. On December 3, 2024, the court issued an opinion and order granting the plaintiffs’ motion for reconsideration, and on January 10, 2025, the plaintiffs filed a second amended class action complaint, which the defendants moved to dismiss. On May 30, 2025, the parties jointly informed the court that they had reached an agreement-in-principle to settle the action and the court then stayed all deadlines in the action. On December 2, 2025, the plaintiffs moved for preliminary approval of the proposed settlement. The proposed settlement includes a payment of $10 million to be distributed, after fees and expenses, to members of the settlement class and a release by class members of their claims, including in the New York and Ontario actions, based on shares acquired on the Nasdaq or any other public U.S. market for trading stocks during the class period. The release would apply to claims relating to shares acquired on the Nasdaq or any other public U.S. market during the class period but would not resolve claims of persons who acquired shares on the TSX. On July 20, 2026, a magistrate judge to whom the court referred the preliminary approval motion issued a recommendation that the district court preliminarily approve the proposed settlement. On August 4, the district court entered an order granting preliminary approval of the settlement. The proposed settlement remains subject to final approval by the court and certain other conditions not within the Company’s control. One of the shareholder plaintiffs in the Ontario action has informed the court that he intends to oppose approval of the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 2020, an alleged shareholder filed a Statement of Claim, as amended on August 12, 2020, in the Ontario Superior Court of Justice in Toronto, Ontario, Canada, seeking, among other things, an order certifying the action as a class action on behalf of a putative class of shareholders and damages of an unspecified amount. The Amended Statement of Claim named (i) the Company, (ii) its Chief Executive Officer, (iii) former Chief Financial Officer, (iv) former Chief Financial Officer and Chief Commercial Officer, and (v) current and former members of the Board as defendants and alleged breaches of the Ontario Securities Act, oppression under the Ontario Business Corporations Act and common law misrepresentation. The Amended Statement of Claim generally alleged that certain of the Company’s prior public statements about revenue and internal controls were misrepresentations based on the Company’s March 2, 2020 disclosure that the Audit Committee of the Board of Directors was conducting a review of the appropriateness of revenue recognized in connection with certain bulk resin purchases and sales of products through the wholesale channel, and the Company’s subsequent restatement. The Amended Statement of Claim did not quantify a damage request. On June 28, 2021, the Court dismissed motions brought by the plaintiff for leave to commence a claim for misrepresentation under the Ontario Securities Act and for certification of the action as a class action. The plaintiff appealed the Court’s dismissal of the motions only with respect to the Company, the Chief Executive Officer, and the now former Chief Financial Officer; the remaining defendants were dismissed from the matter with prejudice and the Company and all individual defendants agreed not to seek costs from the plaintiff in connection with the dismissal of the motions. On September 26, 2022, the Court of Appeal for Ontario reversed the Superior Court’s dismissal of the leave and certification motions, granted the plaintiff leave to proceed to bring a claim for misrepresentation under the Ontario Securities Act, and remitted the certification motion back to the Superior Court. On April 11, 2023, the plaintiff filed a Fresh as Amended Statement of Claim, which reflected the dismissal of the defendants for which an appeal was not sought, the removal of the claims for oppression under the Ontario Business Corporations Act and common law misrepresentation, as well as shortening the proposed class period. On October 10, 2023, the Superior Court certified the action on behalf of a class of persons or entities who acquired shares in the secondary market, including on the TSX and Nasdaq, during the period from May 9, 2019 to March 30, 2020, other than certain excluded persons.</w:t>
      </w:r>
    </w:p>
    <w:p>
      <w:pPr>
        <w:pStyle w:val="TextBody"/>
        <w:bidi w:val="0"/>
        <w:spacing w:lineRule="auto" w:line="288" w:before="120" w:after="120"/>
        <w:ind w:left="0" w:right="0" w:hanging="360"/>
        <w:jc w:val="both"/>
        <w:rPr>
          <w:rFonts w:ascii="Times New Roman;serif" w:hAnsi="Times New Roman;serif"/>
          <w:b/>
          <w:i/>
          <w:color w:val="000000"/>
          <w:sz w:val="20"/>
        </w:rPr>
      </w:pPr>
      <w:r>
        <w:rPr>
          <w:rFonts w:ascii="Times New Roman;serif" w:hAnsi="Times New Roman;serif"/>
          <w:b/>
          <w:i/>
          <w:color w:val="000000"/>
          <w:sz w:val="20"/>
        </w:rPr>
        <w:t>(ii)Regulatory reviews relating to restatements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24, 2022, the Company announced regulatory settlements as follows: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 Settlement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24, 2022, the SEC issued an Order Instituting Cease-and-Desist Proceedings Pursuant to Section 8(a) of the Securities Act of 1933, as amended (the “Securities Act”) and Section 21(c) of the Exchange Act, Making Findings, and Imposing a Cease-and-Desist Order (the “Settlement Order”) resolving the restatements of our 2019 and 2021 interim financial statements (the “Restatements”).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agreed to settle with the SEC, without admitting or denying the allegations described in the Settlement Order. The Settlement Order fully and finally disposed of the investigation of the Company by the SEC into the Restatements without the payment of any civil penalty or other amount.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Settlement Order required the Company to cease-and-desist from committing or causing any violations and any future violations of Section 17(a) of the Securities Act, Sections 10(b), 13(a), 13(b)(2)(B) of the Exchange Act and Rules 10b-5, 13a-13, 13a-15(a), 13a-16 and 12b-20 thereunder.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Settlement Order, the Company (i) lost its status as a well-known seasoned issuer for a period of three years, (ii) is unable to rely on the private offering exemptions provided by Regulations A and D under the Securities Act for a period of five years and (iii) was unable to rely on the safe harbor provisions of the U.S. Private Securities Litigation Reform Act of 1995 for a period of three years.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OSC Settlement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24, 2022, the Ontario Capital Markets Tribunal approved a settlement agreement (the “Settlement Agreement”) between the Company and the staff of the Ontario Securities Commission (the “OSC”), resolving the Restatements.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Settlement Agreement, which fully and finally disposed of the investigation of the Company by the OSC, Cronos agreed to pay a total of C$1.34 million to fully settle the matter, and acknowledged that it had failed to comply with the requirement under Section 77 of the Ontario Securities Act to file interim financial reports in the manner set out therein and had acted in a manner contrary to the public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ind w:left="0" w:right="0" w:hanging="360"/>
        <w:jc w:val="both"/>
        <w:rPr>
          <w:rFonts w:ascii="Times New Roman;serif" w:hAnsi="Times New Roman;serif"/>
          <w:b/>
          <w:i/>
          <w:color w:val="000000"/>
          <w:sz w:val="20"/>
        </w:rPr>
      </w:pPr>
      <w:r>
        <w:rPr>
          <w:rFonts w:ascii="Times New Roman;serif" w:hAnsi="Times New Roman;serif"/>
          <w:b/>
          <w:i/>
          <w:color w:val="000000"/>
          <w:sz w:val="20"/>
        </w:rPr>
        <w:t>(iii)Litigation and regulatory inquiries relating to marketing, distribution, import and sale of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17, 2023, a group of plaintiffs led by the Green Leaf (Ale Yarok) political party filed a Statement of Claim and Request for Approval of a Class Action on behalf of a purported class of Israeli cannabis consumers in the District Court of Tel Aviv, Israel, against 26 cannabis-related parties, including three Cronos Israel entities. The Statement of Claim alleges that the defendants violated certain laws relating to the marketing of medical cannabis products, including marketing to unlicensed cannabis consumers. The lawsuit seeks a total of ILS 420 million. The Cronos Israel defendants moved to dismiss the action on August 13, 2023. The court granted the motion (and similar motions filed by other defendants) on May 16, 2024, dismissing the plaintiffs’ petition for class certification without prejudice and their individual claims with prejudice, and ordering the plaintiffs to pay ILS 10 thousand to each of the defendants for costs. On July 14, 2024, the plaintiffs appealed to the Supreme Court of Israel seeking to overturn both the dismissal of plaintiffs’ individual claims and the award of costs. The appeal is pending.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18, 2024, the Company was notified that the Trade Levies Commissioner of the Israel Ministry of Economy and Industry initiated a public investigation of alleged dumping of medical cannabis imports from Canada into Israel. On July 9, 2024, the Commissioner announced a preliminary determination proposing to impose an anti-dumping duty on Canadian licensed producers. Under the proposal, the Company would have been subject to a proposed duty of 369%. The Commissioner determined not to impose a provisional duty at that time pending the conclusion of the Ministry’s investigation. The Company responded to requests for information from the Ministry. On November 10, 2024, the Trade Levies Commissioner published final findings under which the Company would be subject to a proposed duty of 175%. The Commissioner’s findings were then evaluated by an ad hoc advisory committee. On December 12, 2024, the Minister of Economy announced a conflict of interest and recused himself from the evaluation of whether to impose a duty. On April 10, 2025, notwithstanding the previous recusal, the Minister of Finance released a memorandum opposing the imposition of the duty, which acted as a veto of the Minister of Economy’s approval. On April 29, 2025, the Ministry of Justice issued a memorandum sustaining the Minister of Finance’s veto. A provisional duty is not being imposed at this time. The Company cannot predict further proceedings or determinations of the Ministers of Economy or Finance, or the Finance Committee or the Knesset and cannot predict whether a duty will ultimately be imposed on its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25, 2024, a group of cannabis cultivators filed an administrative petition in the District Court of Jerusalem, Israel, against the Trade Levies Commissioner and certain Israeli and Canadian businesses. The administrative petition sought a court order requiring the Trade Levies Commissioner to impose a temporary duty on cannabis imported from Canada during the pendency of the investigation until the date on which a final determination is made by the Ministry of Economy whether to impose a duty. On September 9, 2024, the Company filed a motion to join the litigation; the court granted the Company’s motion on September 23, 2024. On February 6, 2025, the court dismissed the administrative petition. On June 12, 2025, a group of cannabis cultivators initiated a second administrative proceeding against the government and certain importers, including the Company’s subsidiaries in Israel, asking the court to declare the Minister of Finance’s veto void and order the Minister of Economy to impose an anti-dumping duty. On June 26, 2025, the cultivators moved the court for an interim injunction, which the court denied on July 13, 2025. On December 18, 2025, the court dismissed the administrative petition. The deadline for petitioners to appeal was February 16,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29, 2026, the Trade Levies Commissioner initiated a new anti-dumping investigation concerning imports of medical cannabis flower from Canada following a complaint filed by two Israeli producers. The investigation covered alleged dumping during 2025 and alleged injury during 2023 through 2025, and, for purposes of initiating the investigation, the Commissioner identified a prima facie dumping margin of approximately 125%. On July 28, 2026, the Commissioner terminated the investigation on procedural grounds. The termination was not based on a substantive determination of the merits and did not preclude the filing of another complaint or the initiation of a new investigation. On July 30, 2026, a new complaint concerning imports of medical cannabis from Canada was filed on behalf of the Israeli domestic industry. On August 2, 2026, the Commissioner notified the Government of Canada that the new complaint contained sufficient prima facie evidence of dumping, material injury to the domestic industry and a causal link between the alleged dumping and injury. On August 5, 2026, the Commissioner notified the Company of the initiation of a new investigation. The Company cannot predict the timing or outcome of the new investigation or any related proceeding, or whether any provisional or final anti-dumping duty or other import restriction will ultimately be imposed.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litigation and regulatory proceedings relating to the marketing, distribution, import and sale of our products to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11. Segment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Segment reporting is prepared on the same basis that the CODM manages the business, makes operating decisions and assesses the Company’s performance. The CODM is the Company’s Chief Executive Officer. The Company operates as a single segment with the purpose of providing high-quality cannabis products to adult-use, wholesale, and medical market customers globally. The consolidated results are regularly reviewed by the CODM to assess the performance of the Company’s single segment operations and make decisions regarding the allocation of resources. The CODM reviews adjusted earnings (loss) before interest, tax, depreciation and amortization (“Adjusted EBITDA”) as the measure of segment profit or loss to evaluate performance of and allocate resources for its reportable segment. Adjusted EBITDA is defined as earnings before interest, tax, depreciation, and non-cash items and items that do not reflect management’s assessment of ongoing business performance. The CODM believes Adjusted EBITDA provides useful insight into underlying business trends and results and facilitates comparison of period-over-period results. In addition, certain significant expenses are regularly reviewed by the CODM and considered for business decisions and allocation of resources; these significant expenses include: cost of sales and inventory write-down, which are presented in determining gross profit, and sales and marketing, research and development, general and administrative, depreciation and amortization, and share-based compensation expense, which are presented within operating expenses on the Company’s condensed consolidated statements of net income (loss) and comprehensive income (loss). Furthermore, the CODM regularly reviews total cash and cash equivalents, short-term investments and non-current interest-bearing deposits to aid in capital allocation decisions.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sets forth consolidated Adjusted EBITDA and significant expenses for our single segment:</w:t>
      </w:r>
    </w:p>
    <w:tbl>
      <w:tblPr>
        <w:tblW w:w="9809" w:type="dxa"/>
        <w:jc w:val="left"/>
        <w:tblInd w:w="0" w:type="dxa"/>
        <w:tblLayout w:type="fixed"/>
        <w:tblCellMar>
          <w:top w:w="28" w:type="dxa"/>
          <w:left w:w="28" w:type="dxa"/>
          <w:bottom w:w="28" w:type="dxa"/>
          <w:right w:w="28" w:type="dxa"/>
        </w:tblCellMar>
      </w:tblPr>
      <w:tblGrid>
        <w:gridCol w:w="1673"/>
        <w:gridCol w:w="1468"/>
        <w:gridCol w:w="14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transaction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 reconciliation of net income as determined in accordance with U.S. GAAP to Adjusted EBITDA for the periods indicated:</w:t>
      </w:r>
    </w:p>
    <w:tbl>
      <w:tblPr>
        <w:tblW w:w="8458" w:type="dxa"/>
        <w:jc w:val="left"/>
        <w:tblInd w:w="0" w:type="dxa"/>
        <w:tblLayout w:type="fixed"/>
        <w:tblCellMar>
          <w:top w:w="28" w:type="dxa"/>
          <w:left w:w="28" w:type="dxa"/>
          <w:bottom w:w="28" w:type="dxa"/>
          <w:right w:w="28" w:type="dxa"/>
        </w:tblCellMar>
      </w:tblPr>
      <w:tblGrid>
        <w:gridCol w:w="2095"/>
        <w:gridCol w:w="1839"/>
        <w:gridCol w:w="1855"/>
        <w:gridCol w:w="518"/>
        <w:gridCol w:w="1773"/>
        <w:gridCol w:w="378"/>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30,272 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allowance for credit loss on non-operating loan</w:t>
            </w:r>
            <w:r>
              <w:rPr>
                <w:rFonts w:ascii="Times New Roman;serif" w:hAnsi="Times New Roman;serif"/>
                <w:b w:val="false"/>
                <w:color w:val="000000"/>
                <w:sz w:val="13"/>
              </w:rPr>
              <w:t>(viii)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2093"/>
        <w:gridCol w:w="1830"/>
        <w:gridCol w:w="1866"/>
        <w:gridCol w:w="485"/>
        <w:gridCol w:w="1831"/>
        <w:gridCol w:w="354"/>
      </w:tblGrid>
      <w:tr>
        <w:trPr/>
        <w:tc>
          <w:tcPr>
            <w:tcW w:w="209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3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(43,802)</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54"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held-for-sale assets</w:t>
            </w:r>
            <w:r>
              <w:rPr>
                <w:rFonts w:ascii="Times New Roman;serif" w:hAnsi="Times New Roman;serif"/>
                <w:b w:val="false"/>
                <w:color w:val="000000"/>
                <w:sz w:val="13"/>
              </w:rPr>
              <w:t>(ix)</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tbl>
      <w:tblPr>
        <w:tblW w:w="8264" w:type="dxa"/>
        <w:jc w:val="left"/>
        <w:tblInd w:w="0" w:type="dxa"/>
        <w:tblLayout w:type="fixed"/>
        <w:tblCellMar>
          <w:top w:w="28" w:type="dxa"/>
          <w:left w:w="28" w:type="dxa"/>
          <w:bottom w:w="28" w:type="dxa"/>
          <w:right w:w="28" w:type="dxa"/>
        </w:tblCellMar>
      </w:tblPr>
      <w:tblGrid>
        <w:gridCol w:w="2095"/>
        <w:gridCol w:w="1839"/>
        <w:gridCol w:w="1855"/>
        <w:gridCol w:w="481"/>
        <w:gridCol w:w="1643"/>
        <w:gridCol w:w="351"/>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43,285 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allowance for credit loss on non-operating loan</w:t>
            </w:r>
            <w:r>
              <w:rPr>
                <w:rFonts w:ascii="Times New Roman;serif" w:hAnsi="Times New Roman;serif"/>
                <w:b w:val="false"/>
                <w:color w:val="000000"/>
                <w:sz w:val="13"/>
              </w:rPr>
              <w:t>(viii)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63" w:type="dxa"/>
        <w:jc w:val="left"/>
        <w:tblInd w:w="0" w:type="dxa"/>
        <w:tblLayout w:type="fixed"/>
        <w:tblCellMar>
          <w:top w:w="28" w:type="dxa"/>
          <w:left w:w="28" w:type="dxa"/>
          <w:bottom w:w="28" w:type="dxa"/>
          <w:right w:w="28" w:type="dxa"/>
        </w:tblCellMar>
      </w:tblPr>
      <w:tblGrid>
        <w:gridCol w:w="2093"/>
        <w:gridCol w:w="1830"/>
        <w:gridCol w:w="1866"/>
        <w:gridCol w:w="449"/>
        <w:gridCol w:w="1697"/>
        <w:gridCol w:w="328"/>
      </w:tblGrid>
      <w:tr>
        <w:trPr/>
        <w:tc>
          <w:tcPr>
            <w:tcW w:w="209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328"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held-for-sale assets</w:t>
            </w:r>
            <w:r>
              <w:rPr>
                <w:rFonts w:ascii="Times New Roman;serif" w:hAnsi="Times New Roman;serif"/>
                <w:b w:val="false"/>
                <w:color w:val="000000"/>
                <w:sz w:val="13"/>
              </w:rPr>
              <w:t>(ix)</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step-up recorded to cost of sales</w:t>
            </w:r>
            <w:r>
              <w:rPr>
                <w:rFonts w:ascii="Times New Roman;serif" w:hAnsi="Times New Roman;serif"/>
                <w:b w:val="false"/>
                <w:color w:val="000000"/>
                <w:sz w:val="13"/>
              </w:rPr>
              <w:t>(x)</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For the three and six months ended June 30, 2026, the loss on revaluation of financial instruments was driven by a loss related to the Company’s High Tide Warrant and the Company’s equity securities in Vitura. For the three and six months ended June 30, 2025, the loss on revaluation of financial instruments related primarily to the Company’s equity securities in Vitura.</w:t>
      </w:r>
    </w:p>
    <w:p>
      <w:pPr>
        <w:pStyle w:val="TextBody"/>
        <w:bidi w:val="0"/>
        <w:spacing w:lineRule="auto" w:line="288" w:before="60" w:after="60"/>
        <w:ind w:left="0" w:right="0" w:hanging="540"/>
        <w:jc w:val="both"/>
        <w:rPr/>
      </w:pPr>
      <w:r>
        <w:rPr>
          <w:rFonts w:ascii="Times New Roman;serif" w:hAnsi="Times New Roman;serif"/>
          <w:b w:val="false"/>
          <w:color w:val="000000"/>
          <w:sz w:val="10"/>
        </w:rPr>
        <w:t>(ii)</w:t>
      </w:r>
      <w:r>
        <w:rPr>
          <w:rFonts w:ascii="Times New Roman;serif" w:hAnsi="Times New Roman;serif"/>
          <w:b w:val="false"/>
          <w:color w:val="000000"/>
          <w:sz w:val="16"/>
        </w:rPr>
        <w:t>For the three and six months ended June 30, 2026, transaction costs represented fees related to the pending acquisition of CanAdelaar B.V. For the three and six months ended June 30,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pStyle w:val="TextBody"/>
        <w:bidi w:val="0"/>
        <w:spacing w:lineRule="auto" w:line="288" w:before="60" w:after="60"/>
        <w:ind w:left="0" w:right="0" w:hanging="540"/>
        <w:jc w:val="both"/>
        <w:rPr/>
      </w:pPr>
      <w:r>
        <w:rPr>
          <w:rFonts w:ascii="Times New Roman;serif" w:hAnsi="Times New Roman;serif"/>
          <w:b w:val="false"/>
          <w:color w:val="000000"/>
          <w:sz w:val="10"/>
        </w:rPr>
        <w:t>(iii)</w:t>
      </w:r>
      <w:r>
        <w:rPr>
          <w:rFonts w:ascii="Times New Roman;serif" w:hAnsi="Times New Roman;serif"/>
          <w:b w:val="false"/>
          <w:color w:val="000000"/>
          <w:sz w:val="16"/>
        </w:rPr>
        <w:t>For the three months ended June 30, 2026, other, net related to a loss on disposal of fixed assets. For the six months ended June 30, 2026, other, net related primarily to rental income. For the three and six months ended June 30, 2025, other, net related to (gain) loss on disposal of assets and (gain) loss on revaluation of derivative liabilities.</w:t>
      </w:r>
    </w:p>
    <w:p>
      <w:pPr>
        <w:pStyle w:val="TextBody"/>
        <w:bidi w:val="0"/>
        <w:spacing w:lineRule="auto" w:line="288" w:before="60" w:after="60"/>
        <w:ind w:left="0" w:right="0" w:hanging="540"/>
        <w:jc w:val="both"/>
        <w:rPr/>
      </w:pPr>
      <w:r>
        <w:rPr>
          <w:rFonts w:ascii="Times New Roman;serif" w:hAnsi="Times New Roman;serif"/>
          <w:b w:val="false"/>
          <w:color w:val="000000"/>
          <w:sz w:val="10"/>
        </w:rPr>
        <w:t>(iv)</w:t>
      </w:r>
      <w:r>
        <w:rPr>
          <w:rFonts w:ascii="Times New Roman;serif" w:hAnsi="Times New Roman;serif"/>
          <w:b w:val="false"/>
          <w:color w:val="000000"/>
          <w:sz w:val="16"/>
        </w:rPr>
        <w:t>For the three and six months ended June 30, 2026, restructuring costs related to IT infrastructure and finance transformation costs associated with the Realignment, as described in Note 7 “</w:t>
      </w:r>
      <w:r>
        <w:rPr>
          <w:rFonts w:ascii="Times New Roman;serif" w:hAnsi="Times New Roman;serif"/>
          <w:b w:val="false"/>
          <w:i/>
          <w:color w:val="000000"/>
          <w:sz w:val="16"/>
        </w:rPr>
        <w:t>Restructuring</w:t>
      </w:r>
      <w:r>
        <w:rPr>
          <w:rFonts w:ascii="Times New Roman;serif" w:hAnsi="Times New Roman;serif"/>
          <w:b w:val="false"/>
          <w:color w:val="000000"/>
          <w:sz w:val="16"/>
        </w:rPr>
        <w:t>.” For the three and six months ended June 30, 2025, restructuring costs related to employee-related severance costs and IT infrastructure and finance transformation costs associated with the Realignment, as described in Note 7 “</w:t>
      </w:r>
      <w:r>
        <w:rPr>
          <w:rFonts w:ascii="Times New Roman;serif" w:hAnsi="Times New Roman;serif"/>
          <w:b w:val="false"/>
          <w:i/>
          <w:color w:val="000000"/>
          <w:sz w:val="16"/>
        </w:rPr>
        <w:t>Restructuring</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(v)</w:t>
      </w:r>
      <w:r>
        <w:rPr>
          <w:rFonts w:ascii="Times New Roman;serif" w:hAnsi="Times New Roman;serif"/>
          <w:b w:val="false"/>
          <w:color w:val="000000"/>
          <w:sz w:val="16"/>
        </w:rPr>
        <w:t>For the three and six months ended June 30, 2026, share-based compensation related to the expenses of share-based compensation awarded to employees and DSUs issued to our Board of Directors, each under the Company’s share-based award plans, as described in Note 8 “</w:t>
      </w:r>
      <w:r>
        <w:rPr>
          <w:rFonts w:ascii="Times New Roman;serif" w:hAnsi="Times New Roman;serif"/>
          <w:b w:val="false"/>
          <w:i/>
          <w:color w:val="000000"/>
          <w:sz w:val="16"/>
        </w:rPr>
        <w:t>Share-based Compensation.</w:t>
      </w:r>
      <w:r>
        <w:rPr>
          <w:color w:val="000000"/>
        </w:rPr>
        <w:t xml:space="preserve">” </w:t>
      </w:r>
      <w:r>
        <w:rPr>
          <w:rFonts w:ascii="Times New Roman;serif" w:hAnsi="Times New Roman;serif"/>
          <w:b w:val="false"/>
          <w:color w:val="000000"/>
          <w:sz w:val="16"/>
        </w:rPr>
        <w:t>For the three and six months ended June 30, 2025, share-based compensation related to the expenses of share-based compensation awarded to employees under the Company’s share-based award plans, as described in Note 8 “</w:t>
      </w:r>
      <w:r>
        <w:rPr>
          <w:rFonts w:ascii="Times New Roman;serif" w:hAnsi="Times New Roman;serif"/>
          <w:b w:val="false"/>
          <w:i/>
          <w:color w:val="000000"/>
          <w:sz w:val="16"/>
        </w:rPr>
        <w:t>Share-based Compensation.</w:t>
      </w:r>
      <w:r>
        <w:rPr>
          <w:color w:val="000000"/>
        </w:rPr>
        <w:t>”</w:t>
      </w:r>
    </w:p>
    <w:p>
      <w:pPr>
        <w:pStyle w:val="TextBody"/>
        <w:bidi w:val="0"/>
        <w:spacing w:lineRule="auto" w:line="288" w:before="60" w:after="60"/>
        <w:ind w:left="0" w:right="0" w:hanging="540"/>
        <w:jc w:val="both"/>
        <w:rPr/>
      </w:pPr>
      <w:r>
        <w:rPr>
          <w:rFonts w:ascii="Times New Roman;serif" w:hAnsi="Times New Roman;serif"/>
          <w:b w:val="false"/>
          <w:color w:val="000000"/>
          <w:sz w:val="10"/>
        </w:rPr>
        <w:t>(vi)</w:t>
      </w:r>
      <w:r>
        <w:rPr>
          <w:rFonts w:ascii="Times New Roman;serif" w:hAnsi="Times New Roman;serif"/>
          <w:b w:val="false"/>
          <w:color w:val="000000"/>
          <w:sz w:val="16"/>
        </w:rPr>
        <w:t>For the three and six months ended June 30, 2026 and 2025, restatement litigation costs included legal costs incurred defending shareholder class action complaints brought against the Company as a result of the 2019 restatement.</w:t>
      </w:r>
    </w:p>
    <w:p>
      <w:pPr>
        <w:pStyle w:val="TextBody"/>
        <w:bidi w:val="0"/>
        <w:spacing w:lineRule="auto" w:line="288" w:before="60" w:after="60"/>
        <w:ind w:left="0" w:right="0" w:hanging="540"/>
        <w:jc w:val="both"/>
        <w:rPr/>
      </w:pPr>
      <w:r>
        <w:rPr>
          <w:rFonts w:ascii="Times New Roman;serif" w:hAnsi="Times New Roman;serif"/>
          <w:b w:val="false"/>
          <w:color w:val="000000"/>
          <w:sz w:val="10"/>
        </w:rPr>
        <w:t>(vii)</w:t>
      </w:r>
      <w:r>
        <w:rPr>
          <w:rFonts w:ascii="Times New Roman;serif" w:hAnsi="Times New Roman;serif"/>
          <w:b w:val="false"/>
          <w:color w:val="000000"/>
          <w:sz w:val="16"/>
        </w:rPr>
        <w:t>For the three and six months ended June 30, 2026 and 2025, Israel Ministry of Economy and Industry dumping inquiry expense included expenditures relating to regulatory investigations and proceedings about alleged dumping of medical cannabis imports from Canada into Israel and related litigation and external relations expenses.</w:t>
      </w:r>
    </w:p>
    <w:p>
      <w:pPr>
        <w:pStyle w:val="TextBody"/>
        <w:bidi w:val="0"/>
        <w:spacing w:lineRule="auto" w:line="288" w:before="60" w:after="60"/>
        <w:ind w:left="0" w:right="0" w:hanging="540"/>
        <w:jc w:val="both"/>
        <w:rPr/>
      </w:pPr>
      <w:r>
        <w:rPr>
          <w:rFonts w:ascii="Times New Roman;serif" w:hAnsi="Times New Roman;serif"/>
          <w:b w:val="false"/>
          <w:color w:val="000000"/>
          <w:sz w:val="10"/>
        </w:rPr>
        <w:t>(viii)</w:t>
      </w:r>
      <w:r>
        <w:rPr>
          <w:rFonts w:ascii="Times New Roman;serif" w:hAnsi="Times New Roman;serif"/>
          <w:b w:val="false"/>
          <w:color w:val="000000"/>
          <w:sz w:val="16"/>
        </w:rPr>
        <w:t>For the three and six months ended June 30, 2026, change in allowance for credit loss on non-operating loan related to the allowance recognized on the High Tide loan receivable, as described in Note 4, “Loans Receivable, net.”</w:t>
      </w:r>
    </w:p>
    <w:p>
      <w:pPr>
        <w:pStyle w:val="TextBody"/>
        <w:bidi w:val="0"/>
        <w:spacing w:lineRule="auto" w:line="288" w:before="60" w:after="60"/>
        <w:ind w:left="0" w:right="0" w:hanging="540"/>
        <w:jc w:val="both"/>
        <w:rPr/>
      </w:pPr>
      <w:r>
        <w:rPr>
          <w:rFonts w:ascii="Times New Roman;serif" w:hAnsi="Times New Roman;serif"/>
          <w:b w:val="false"/>
          <w:color w:val="000000"/>
          <w:sz w:val="10"/>
        </w:rPr>
        <w:t>(ix)</w:t>
      </w:r>
      <w:r>
        <w:rPr>
          <w:rFonts w:ascii="Times New Roman;serif" w:hAnsi="Times New Roman;serif"/>
          <w:b w:val="false"/>
          <w:color w:val="000000"/>
          <w:sz w:val="16"/>
        </w:rPr>
        <w:t>For the three and six months ended June 30, 2025, loss on held-for-sale assets related to a revaluation of the Cronos Fermentation Held-For-Sale Assets Group.</w:t>
      </w:r>
    </w:p>
    <w:p>
      <w:pPr>
        <w:pStyle w:val="TextBody"/>
        <w:bidi w:val="0"/>
        <w:spacing w:lineRule="auto" w:line="288" w:before="60" w:after="60"/>
        <w:ind w:left="0" w:right="0" w:hanging="540"/>
        <w:jc w:val="both"/>
        <w:rPr/>
      </w:pPr>
      <w:r>
        <w:rPr>
          <w:rFonts w:ascii="Times New Roman;serif" w:hAnsi="Times New Roman;serif"/>
          <w:b w:val="false"/>
          <w:color w:val="000000"/>
          <w:sz w:val="10"/>
        </w:rPr>
        <w:t>(x)</w:t>
      </w:r>
      <w:r>
        <w:rPr>
          <w:rFonts w:ascii="Times New Roman;serif" w:hAnsi="Times New Roman;serif"/>
          <w:b w:val="false"/>
          <w:color w:val="000000"/>
          <w:sz w:val="16"/>
        </w:rPr>
        <w:t>For the six months ended June 30, 2025, inventory step-up recorded to cost of sales represents the portion of the inventory step-up from the Cronos GrowCo Transaction that was recorded through the condensed consolidated statements of net income (loss)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by major product category for our single segment:</w:t>
      </w:r>
    </w:p>
    <w:tbl>
      <w:tblPr>
        <w:tblW w:w="4013" w:type="dxa"/>
        <w:jc w:val="left"/>
        <w:tblInd w:w="0" w:type="dxa"/>
        <w:tblLayout w:type="fixed"/>
        <w:tblCellMar>
          <w:top w:w="28" w:type="dxa"/>
          <w:left w:w="28" w:type="dxa"/>
          <w:bottom w:w="28" w:type="dxa"/>
          <w:right w:w="28" w:type="dxa"/>
        </w:tblCellMar>
      </w:tblPr>
      <w:tblGrid>
        <w:gridCol w:w="565"/>
        <w:gridCol w:w="496"/>
        <w:gridCol w:w="498"/>
        <w:gridCol w:w="211"/>
        <w:gridCol w:w="721"/>
        <w:gridCol w:w="109"/>
        <w:gridCol w:w="109"/>
        <w:gridCol w:w="109"/>
        <w:gridCol w:w="109"/>
        <w:gridCol w:w="21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13" w:type="dxa"/>
        <w:jc w:val="left"/>
        <w:tblInd w:w="0" w:type="dxa"/>
        <w:tblLayout w:type="fixed"/>
        <w:tblCellMar>
          <w:top w:w="28" w:type="dxa"/>
          <w:left w:w="28" w:type="dxa"/>
          <w:bottom w:w="28" w:type="dxa"/>
          <w:right w:w="28" w:type="dxa"/>
        </w:tblCellMar>
      </w:tblPr>
      <w:tblGrid>
        <w:gridCol w:w="565"/>
        <w:gridCol w:w="496"/>
        <w:gridCol w:w="498"/>
        <w:gridCol w:w="211"/>
        <w:gridCol w:w="721"/>
        <w:gridCol w:w="109"/>
        <w:gridCol w:w="109"/>
        <w:gridCol w:w="109"/>
        <w:gridCol w:w="109"/>
        <w:gridCol w:w="21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attributed to a geographic region based on the location of the customer was as follows:</w:t>
      </w:r>
    </w:p>
    <w:tbl>
      <w:tblPr>
        <w:tblW w:w="3818" w:type="dxa"/>
        <w:jc w:val="left"/>
        <w:tblInd w:w="0" w:type="dxa"/>
        <w:tblLayout w:type="fixed"/>
        <w:tblCellMar>
          <w:top w:w="28" w:type="dxa"/>
          <w:left w:w="28" w:type="dxa"/>
          <w:bottom w:w="28" w:type="dxa"/>
          <w:right w:w="28" w:type="dxa"/>
        </w:tblCellMar>
      </w:tblPr>
      <w:tblGrid>
        <w:gridCol w:w="492"/>
        <w:gridCol w:w="432"/>
        <w:gridCol w:w="440"/>
        <w:gridCol w:w="211"/>
        <w:gridCol w:w="721"/>
        <w:gridCol w:w="109"/>
        <w:gridCol w:w="109"/>
        <w:gridCol w:w="109"/>
        <w:gridCol w:w="109"/>
        <w:gridCol w:w="211"/>
        <w:gridCol w:w="721"/>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18" w:type="dxa"/>
        <w:jc w:val="left"/>
        <w:tblInd w:w="0" w:type="dxa"/>
        <w:tblLayout w:type="fixed"/>
        <w:tblCellMar>
          <w:top w:w="28" w:type="dxa"/>
          <w:left w:w="28" w:type="dxa"/>
          <w:bottom w:w="28" w:type="dxa"/>
          <w:right w:w="28" w:type="dxa"/>
        </w:tblCellMar>
      </w:tblPr>
      <w:tblGrid>
        <w:gridCol w:w="492"/>
        <w:gridCol w:w="432"/>
        <w:gridCol w:w="440"/>
        <w:gridCol w:w="211"/>
        <w:gridCol w:w="721"/>
        <w:gridCol w:w="109"/>
        <w:gridCol w:w="109"/>
        <w:gridCol w:w="109"/>
        <w:gridCol w:w="109"/>
        <w:gridCol w:w="211"/>
        <w:gridCol w:w="721"/>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total cash and cash equivalents and short-term investments for our single segment:</w:t>
      </w:r>
    </w:p>
    <w:tbl>
      <w:tblPr>
        <w:tblW w:w="10205" w:type="dxa"/>
        <w:jc w:val="left"/>
        <w:tblInd w:w="0" w:type="dxa"/>
        <w:tblLayout w:type="fixed"/>
        <w:tblCellMar>
          <w:top w:w="28" w:type="dxa"/>
          <w:left w:w="28" w:type="dxa"/>
          <w:bottom w:w="28" w:type="dxa"/>
          <w:right w:w="28" w:type="dxa"/>
        </w:tblCellMar>
      </w:tblPr>
      <w:tblGrid>
        <w:gridCol w:w="2297"/>
        <w:gridCol w:w="2015"/>
        <w:gridCol w:w="2024"/>
        <w:gridCol w:w="109"/>
        <w:gridCol w:w="109"/>
        <w:gridCol w:w="109"/>
        <w:gridCol w:w="265"/>
        <w:gridCol w:w="1041"/>
        <w:gridCol w:w="137"/>
        <w:gridCol w:w="109"/>
        <w:gridCol w:w="109"/>
        <w:gridCol w:w="109"/>
        <w:gridCol w:w="313"/>
        <w:gridCol w:w="1227"/>
        <w:gridCol w:w="232"/>
      </w:tblGrid>
      <w:tr>
        <w:trPr/>
        <w:tc>
          <w:tcPr>
            <w:tcW w:w="22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short-term investments and non-current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827,019 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831,794 </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were physically located in the following geographic regions: </w:t>
      </w:r>
    </w:p>
    <w:tbl>
      <w:tblPr>
        <w:tblW w:w="4573" w:type="dxa"/>
        <w:jc w:val="left"/>
        <w:tblInd w:w="0" w:type="dxa"/>
        <w:tblLayout w:type="fixed"/>
        <w:tblCellMar>
          <w:top w:w="28" w:type="dxa"/>
          <w:left w:w="28" w:type="dxa"/>
          <w:bottom w:w="28" w:type="dxa"/>
          <w:right w:w="28" w:type="dxa"/>
        </w:tblCellMar>
      </w:tblPr>
      <w:tblGrid>
        <w:gridCol w:w="266"/>
        <w:gridCol w:w="234"/>
        <w:gridCol w:w="236"/>
        <w:gridCol w:w="284"/>
        <w:gridCol w:w="1114"/>
        <w:gridCol w:w="147"/>
        <w:gridCol w:w="109"/>
        <w:gridCol w:w="109"/>
        <w:gridCol w:w="109"/>
        <w:gridCol w:w="348"/>
        <w:gridCol w:w="1363"/>
        <w:gridCol w:w="2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129,352 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141,539 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145,865 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Intangibles, net were physically located in the following geographic regions:</w:t>
      </w:r>
    </w:p>
    <w:tbl>
      <w:tblPr>
        <w:tblW w:w="4572" w:type="dxa"/>
        <w:jc w:val="left"/>
        <w:tblInd w:w="0" w:type="dxa"/>
        <w:tblLayout w:type="fixed"/>
        <w:tblCellMar>
          <w:top w:w="28" w:type="dxa"/>
          <w:left w:w="28" w:type="dxa"/>
          <w:bottom w:w="28" w:type="dxa"/>
          <w:right w:w="28" w:type="dxa"/>
        </w:tblCellMar>
      </w:tblPr>
      <w:tblGrid>
        <w:gridCol w:w="266"/>
        <w:gridCol w:w="234"/>
        <w:gridCol w:w="236"/>
        <w:gridCol w:w="348"/>
        <w:gridCol w:w="1017"/>
        <w:gridCol w:w="180"/>
        <w:gridCol w:w="109"/>
        <w:gridCol w:w="109"/>
        <w:gridCol w:w="109"/>
        <w:gridCol w:w="422"/>
        <w:gridCol w:w="1234"/>
        <w:gridCol w:w="30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For additions to our property, plant and equipment, net and intangibles, net for the six months ended June 30, 2026 and 2025, please see Note 5 “</w:t>
      </w:r>
      <w:r>
        <w:rPr>
          <w:rFonts w:ascii="Times New Roman;serif" w:hAnsi="Times New Roman;serif"/>
          <w:b w:val="false"/>
          <w:i/>
          <w:color w:val="000000"/>
          <w:sz w:val="20"/>
        </w:rPr>
        <w:t>Property, Plant and Equipment, net</w:t>
      </w:r>
      <w:r>
        <w:rPr>
          <w:color w:val="000000"/>
        </w:rPr>
        <w:t xml:space="preserve">” </w:t>
      </w:r>
      <w:r>
        <w:rPr>
          <w:rFonts w:ascii="Times New Roman;serif" w:hAnsi="Times New Roman;serif"/>
          <w:b w:val="false"/>
          <w:color w:val="000000"/>
          <w:sz w:val="20"/>
        </w:rPr>
        <w:t>and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12. Income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income (loss) per share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37"/>
        <w:gridCol w:w="1177"/>
        <w:gridCol w:w="1183"/>
        <w:gridCol w:w="268"/>
        <w:gridCol w:w="918"/>
        <w:gridCol w:w="109"/>
        <w:gridCol w:w="109"/>
        <w:gridCol w:w="109"/>
        <w:gridCol w:w="109"/>
        <w:gridCol w:w="264"/>
        <w:gridCol w:w="922"/>
        <w:gridCol w:w="109"/>
        <w:gridCol w:w="109"/>
        <w:gridCol w:w="109"/>
        <w:gridCol w:w="109"/>
        <w:gridCol w:w="268"/>
        <w:gridCol w:w="918"/>
        <w:gridCol w:w="109"/>
        <w:gridCol w:w="109"/>
        <w:gridCol w:w="109"/>
        <w:gridCol w:w="109"/>
        <w:gridCol w:w="264"/>
        <w:gridCol w:w="922"/>
        <w:gridCol w:w="156"/>
      </w:tblGrid>
      <w:tr>
        <w:trPr/>
        <w:tc>
          <w:tcPr>
            <w:tcW w:w="163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income (loss) per share computation</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shareholders of Cronos Group</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for computation for basic income (loss)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385,306,213 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376,475,683 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384,138,987 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(loss) per share</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income (loss) per share computation</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shareholders of Cronos Group</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used in the computation of basic income (loss)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385,306,213 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376,475,683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384,138,987</w:t>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Top-up Rights – market price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for computation of diluted income from continuing operations per share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375,061,482 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385,306,213 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378,414,463 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384,138,987 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(loss) per share</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total securities of 4,589,300 and 15,812,953, respectively, were not included in the computation of diluted shares outstanding because the effect would be anti-dilutive. For the six months ended June 30, 2026 and 2025, total securities of 2,938,940 and 19,045,720, respectively, were not included in the computation of diluted shares outstanding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13.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The Company complies with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 and non-financial assets and liabilities that are re-measured and reported at fair value at least annually. In general, fair values are determined by: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Level 1 inputs utilize quoted prices (unadjusted) in active markets for identical assets or liabilities.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Level 2 inputs utilize data points that are observable such as quoted prices, interest rates and yield curves.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3 inputs are unobservable data points for the asset or liability, and include situations where there is little, if any, market activity for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7365" w:type="dxa"/>
        <w:jc w:val="left"/>
        <w:tblInd w:w="0" w:type="dxa"/>
        <w:tblLayout w:type="fixed"/>
        <w:tblCellMar>
          <w:top w:w="28" w:type="dxa"/>
          <w:left w:w="28" w:type="dxa"/>
          <w:bottom w:w="28" w:type="dxa"/>
          <w:right w:w="28" w:type="dxa"/>
        </w:tblCellMar>
      </w:tblPr>
      <w:tblGrid>
        <w:gridCol w:w="2081"/>
        <w:gridCol w:w="1833"/>
        <w:gridCol w:w="1846"/>
        <w:gridCol w:w="469"/>
        <w:gridCol w:w="469"/>
        <w:gridCol w:w="667"/>
      </w:tblGrid>
      <w:tr>
        <w:trPr/>
        <w:tc>
          <w:tcPr>
            <w:tcW w:w="208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 dollars, except share amounts)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assets and liabilities that are measured at fair value on a recurring basis:</w:t>
      </w:r>
    </w:p>
    <w:tbl>
      <w:tblPr>
        <w:tblW w:w="7034"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w:t>
            </w:r>
            <w:r>
              <w:rPr>
                <w:rFonts w:ascii="Times New Roman;serif" w:hAnsi="Times New Roman;serif"/>
                <w:b w:val="false"/>
                <w:color w:val="000000"/>
                <w:sz w:val="13"/>
              </w:rPr>
              <w:t>(i)(ii)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7143"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investments</w:t>
            </w:r>
            <w:r>
              <w:rPr>
                <w:rFonts w:ascii="Times New Roman;serif" w:hAnsi="Times New Roman;serif"/>
                <w:b w:val="false"/>
                <w:color w:val="000000"/>
                <w:sz w:val="13"/>
              </w:rPr>
              <w:t>(i)(ii)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720"/>
        <w:jc w:val="both"/>
        <w:rPr/>
      </w:pPr>
      <w:r>
        <w:rPr>
          <w:rFonts w:ascii="Times New Roman;serif" w:hAnsi="Times New Roman;serif"/>
          <w:b w:val="false"/>
          <w:i/>
          <w:color w:val="000000"/>
          <w:sz w:val="10"/>
          <w:shd w:fill="FFFFFF" w:val="clear"/>
        </w:rPr>
        <w:t>(i)</w:t>
      </w:r>
      <w:r>
        <w:rPr>
          <w:rFonts w:ascii="Times New Roman;serif" w:hAnsi="Times New Roman;serif"/>
          <w:b w:val="false"/>
          <w:color w:val="000000"/>
          <w:sz w:val="16"/>
        </w:rPr>
        <w:t>As of June 30, 2026 and December 31, 2025, the Company’s influence on Vitura is deemed non-significant and the investment is considered an equity security with a readily determinable fair value. See Note 3 “</w:t>
      </w:r>
      <w:r>
        <w:rPr>
          <w:rFonts w:ascii="Times New Roman;serif" w:hAnsi="Times New Roman;serif"/>
          <w:b w:val="false"/>
          <w:i/>
          <w:color w:val="000000"/>
          <w:sz w:val="16"/>
        </w:rPr>
        <w:t>Investments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76" w:before="120" w:after="120"/>
        <w:ind w:left="0" w:right="0" w:hanging="720"/>
        <w:jc w:val="both"/>
        <w:rPr/>
      </w:pPr>
      <w:r>
        <w:rPr>
          <w:rFonts w:ascii="Times New Roman;serif" w:hAnsi="Times New Roman;serif"/>
          <w:b w:val="false"/>
          <w:color w:val="000000"/>
          <w:sz w:val="10"/>
        </w:rPr>
        <w:t>(ii)</w:t>
      </w:r>
      <w:r>
        <w:rPr>
          <w:rFonts w:ascii="Times New Roman;serif" w:hAnsi="Times New Roman;serif"/>
          <w:b w:val="false"/>
          <w:color w:val="000000"/>
          <w:sz w:val="16"/>
        </w:rPr>
        <w:t>As of June 30, 2026 and December 31, 2025, the fair value of the High Tide Warrant is estimated using a Black-Scholes model with key inputs including share price and volatility of High Tide’s common shares, the risk-free rate and the remaining term of the High Tide Warrant. See Note 3 “</w:t>
      </w:r>
      <w:r>
        <w:rPr>
          <w:rFonts w:ascii="Times New Roman;serif" w:hAnsi="Times New Roman;serif"/>
          <w:b w:val="false"/>
          <w:i/>
          <w:color w:val="000000"/>
          <w:sz w:val="16"/>
        </w:rPr>
        <w:t>Investments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categories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540"/>
        <w:jc w:val="both"/>
        <w:rPr>
          <w:rFonts w:ascii="Times New Roman;serif" w:hAnsi="Times New Roman;serif"/>
          <w:b/>
          <w:color w:val="000000"/>
          <w:sz w:val="24"/>
        </w:rPr>
      </w:pPr>
      <w:r>
        <w:rPr>
          <w:rFonts w:ascii="Times New Roman;serif" w:hAnsi="Times New Roman;serif"/>
          <w:b/>
          <w:color w:val="000000"/>
          <w:sz w:val="24"/>
        </w:rPr>
        <w:t>14. Related Party Transactions</w:t>
      </w:r>
    </w:p>
    <w:p>
      <w:pPr>
        <w:pStyle w:val="TextBody"/>
        <w:bidi w:val="0"/>
        <w:spacing w:lineRule="auto" w:line="288" w:before="120" w:after="120"/>
        <w:ind w:left="0" w:right="0" w:firstLine="1440"/>
        <w:jc w:val="both"/>
        <w:rPr/>
      </w:pPr>
      <w:r>
        <w:rPr>
          <w:rFonts w:ascii="Times New Roman;serif" w:hAnsi="Times New Roman;serif"/>
          <w:b/>
          <w:color w:val="000000"/>
          <w:sz w:val="20"/>
        </w:rPr>
        <w:t>(a)</w:t>
      </w:r>
      <w:r>
        <w:rPr>
          <w:rFonts w:ascii="Times New Roman;serif" w:hAnsi="Times New Roman;serif"/>
          <w:b/>
          <w:color w:val="000000"/>
          <w:sz w:val="20"/>
        </w:rPr>
        <w:t>Vendor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an agreement with an external vendor whereby the vendor would provide certain manufacturing services to the Company. The vendor then subcontracted out a portion of those services to another company whose chief executive officer is an immediate family member of an executive of the Company. In November 2023, the Company negotiated a direct contract with the related-party vendor. In April 2026, this vendor restructured its management team and, as a result, the vendor no longer met the definition of a related party to the Company as of June 30, 2026.</w:t>
      </w:r>
    </w:p>
    <w:tbl>
      <w:tblPr>
        <w:tblW w:w="8811" w:type="dxa"/>
        <w:jc w:val="left"/>
        <w:tblInd w:w="0" w:type="dxa"/>
        <w:tblLayout w:type="fixed"/>
        <w:tblCellMar>
          <w:top w:w="28" w:type="dxa"/>
          <w:left w:w="28" w:type="dxa"/>
          <w:bottom w:w="28" w:type="dxa"/>
          <w:right w:w="28" w:type="dxa"/>
        </w:tblCellMar>
      </w:tblPr>
      <w:tblGrid>
        <w:gridCol w:w="1521"/>
        <w:gridCol w:w="1335"/>
        <w:gridCol w:w="1343"/>
        <w:gridCol w:w="246"/>
        <w:gridCol w:w="545"/>
        <w:gridCol w:w="127"/>
        <w:gridCol w:w="127"/>
        <w:gridCol w:w="127"/>
        <w:gridCol w:w="127"/>
        <w:gridCol w:w="246"/>
        <w:gridCol w:w="545"/>
        <w:gridCol w:w="127"/>
        <w:gridCol w:w="109"/>
        <w:gridCol w:w="109"/>
        <w:gridCol w:w="109"/>
        <w:gridCol w:w="224"/>
        <w:gridCol w:w="496"/>
        <w:gridCol w:w="116"/>
        <w:gridCol w:w="116"/>
        <w:gridCol w:w="116"/>
        <w:gridCol w:w="116"/>
        <w:gridCol w:w="224"/>
        <w:gridCol w:w="496"/>
        <w:gridCol w:w="164"/>
      </w:tblGrid>
      <w:tr>
        <w:trPr/>
        <w:tc>
          <w:tcPr>
            <w:tcW w:w="15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 purchases of products and services</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outstanding accounts payable related to the agreement of $208 as of December 31, 2025.</w:t>
      </w:r>
    </w:p>
    <w:p>
      <w:pPr>
        <w:pStyle w:val="TextBody"/>
        <w:bidi w:val="0"/>
        <w:spacing w:lineRule="auto" w:line="288" w:before="120" w:after="120"/>
        <w:jc w:val="both"/>
        <w:rPr/>
      </w:pPr>
      <w:r>
        <w:rPr>
          <w:rFonts w:ascii="Times New Roman;serif" w:hAnsi="Times New Roman;serif"/>
          <w:b/>
          <w:color w:val="000000"/>
          <w:sz w:val="20"/>
        </w:rPr>
        <w:t>(b)</w:t>
      </w:r>
      <w:r>
        <w:rPr>
          <w:rFonts w:ascii="Times New Roman;serif" w:hAnsi="Times New Roman;serif"/>
          <w:b/>
          <w:color w:val="000000"/>
          <w:sz w:val="20"/>
        </w:rPr>
        <w:t>Consulting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Cronos GrowCo Transaction, Cronos GrowCo entered into a consulting services agreement with a consulting firm managed by a member of the group of investors holding the remaining 50% ownership of Cronos GrowCo, pursuant to which the consulting firm provides management services to Cronos GrowCo. During the three and six months ended June 30, 2026, respectively, the Company incurred $434 and $871 of expense under this agreement. During the three and six months ended June 30, 2025, respectively, the Company incurred $362 and $571 of expense under this agreement. As of both June 30, 2026 and December 31, 2025, the Company had no outstanding payables related to this agreement.</w:t>
      </w:r>
    </w:p>
    <w:p>
      <w:pPr>
        <w:pStyle w:val="TextBody"/>
        <w:bidi w:val="0"/>
        <w:spacing w:lineRule="auto" w:line="288" w:before="120" w:after="120"/>
        <w:jc w:val="both"/>
        <w:rPr/>
      </w:pPr>
      <w:r>
        <w:rPr>
          <w:rFonts w:ascii="Times New Roman;serif" w:hAnsi="Times New Roman;serif"/>
          <w:b/>
          <w:color w:val="000000"/>
          <w:sz w:val="20"/>
        </w:rPr>
        <w:t>(c)</w:t>
      </w:r>
      <w:r>
        <w:rPr>
          <w:rFonts w:ascii="Times New Roman;serif" w:hAnsi="Times New Roman;serif"/>
          <w:b/>
          <w:color w:val="000000"/>
          <w:sz w:val="20"/>
        </w:rPr>
        <w:t>Dividend to Non-controlling Interest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Cronos GrowCo made a dividend payment of $3,698 to its non-controlling shareholder. The dividend was funded from excess operating cash flows and is presented in the financing section of the condensed consolidated statement of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June 30, 2025, Cronos GrowCo made a dividend payment of $3,858 to its non-controlling shareholders. The dividend was funded from excess operating cash flows and is presented in the financing section of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together with other information, including the Company’s condensed consolidated financial statements and the related notes to those statements, included in Part I, Item 1 of this Quarterly Report on Form 10-Q for the quarterly period ended June 30, 2026 (this “Quarterly Report”), consolidated financial statements appearing in the Company’s Annual Report on Form 10-K for the year ended December 31, 2025 (the “Annual Report”), Part I, Item 1A, Risk Factors, of the Annual Report and Part II, Item 1A, Risk Factors, of this Quarterly Report.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the documents incorporated into this Quarterly Report by reference, other reports we file with, or furnish to, the United States (“U.S.”) Securities and Exchange Commission (“SEC”) and other regulatory agencies, and statements by our directors, officers, other employees and other persons authorized to speak on our behalf contain information that may constitute forward-looking information and forward-looking statements within the meaning of applicable U.S. and Canadian securities laws and court decisions (collectively, “Forward-Looking Statements”), which are based upon our current internal expectations, estimates, projections, assumptions and beliefs. Information that is not clearly historical in nature may constitute Forward-Looking Statements. In some cases, Forward-Looking Statements can be identified by the use of forward-looking terminology, such as “expect,” “likely,” “may,” “will,” “should,” “intend,” “anticipate,” “potential,” “proposed,” “estimate,” “believe,” “plan”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include, but are not limited to, statements with respect to: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ongoing impact of investigations or proceedings by the Trade Levies Commissioner of the Israel Ministry of Economy and Industry or other Israeli governmental authorities concerning alleged dumping of medical cannabis imports from Canada into Israel (collectively, the “Anti-Dumping Matters”), including the timing and outcome thereof, any anti-dumping duty or other measure that may be imposed and the impact thereof on the Company’s ability to import and sell products in Israel;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related to the conflict involving the United States, Israel, Hamas, Hezbollah, Houthis, Iran, Iran’s proxies and other stakeholders in the region (the “Middle East Conflict”) and its impact on our employees, facilities, and operations in Israel, the supply of product in the market and the demand for product by medical patients in Israel, and our operating costs, as well as any regional or global escalations and their impact to global commerce and stability;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related to markets outside of Canada and Israel, and our ability to successfully maintain, expand and distribute the PEACE NATURALS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in those markets;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related to any future plans to re-enter the U.S. market;</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ongoing impact of our announced realignment (inclusive of any revisions thereto, the “Realignment”) and any progress, challenges and effects related thereto as well as changes in strategy, metrics, investments, reporting structure, costs, operating expenses, employee turnover and other changes with respect thereto;</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expectations as to the use and expansion of our facility in Stayner, Ontario (the “Peace Naturals Campus”);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acquire raw materials from suppliers, including Cronos Growing Company Inc. (“Cronos GrowCo”), and the costs and timing associated therewith;</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regarding the potential success of, and the costs and benefits associated with, our joint ventures, strategic alliances and equity investments;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expectations related to the</w:t>
      </w:r>
      <w:r>
        <w:rPr>
          <w:color w:val="000000"/>
        </w:rPr>
        <w:t xml:space="preserve"> </w:t>
      </w:r>
      <w:r>
        <w:rPr>
          <w:rFonts w:ascii="Times New Roman;serif" w:hAnsi="Times New Roman;serif"/>
          <w:b w:val="false"/>
          <w:color w:val="000000"/>
          <w:sz w:val="20"/>
        </w:rPr>
        <w:t>transaction by which we obtained majority control of the board of directors of Cronos GrowCo (the “Cronos GrowCo Transaction”), which qualified as a business combination under Accounting Standards Codification (“ASC”) 805, and the expansion of Cronos GrowCo’s purpose-built cultivation and processing facilities and any additional supply or growth opportunities (including in the wholesale market) provided thereby;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related to the transaction by which we, as lender, obtained junior secured convertible debt (the “High Tide Loan”) from High Tide Inc. (“High Tide”), as borrower, and a warrant (the “High Tide Warrant”) to purchase common shares of High Tide, the performance of the High Tide Loan and the High Tide Warrant, and High Tide’s ability to repay the High Tide Loan;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related to our agreement to acquire CanAdelaar B.V. (“CanAdelaar”), including the timing and completion of the transaction, and the anticipated costs, benefits and integration matters associated therewith and the performance of the business from and following closing;</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expectations related to the renewed share repurchase program that was authorized on May 8, 2026, including the timing and amount of repurchases;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or plans to identify, develop, commercialize or expand our technology and research and development (“R&amp;D”) initiatives in cannabinoids, or the success thereof;</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expectations regarding revenues, expenses, gross margins, Adjusted EBITDA (as defined below), profitability, cash flows, foreign currency effects, interest income and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regarding our future production and manufacturing strategy and operations, the costs and timing associated therewith and the receipt of applicable production and sale licenses;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legalization of the use of cannabis for medical or adult-use in jurisdictions outside of Canada, the related timing and impact thereof and our intentions to participate in such markets, if, when and to the extent such use is legalized;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grant, renewal, withdrawal, suspension, delay and impact of any license or supplemental license to conduct activities with cannabis or any amendments thereof;</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successfully create, launch and scale brands and cannabis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liquidity, capital resources and future cash requirements, including the sufficiency of our cash and cash equivalents and short-term investments to fund our business operations, acquisitions, strategic investments, share repurchases and capital expenditures;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expectations related to the differentiation of our products, including through the utilization of rare cannabinoids;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benefits, viability, safety, efficacy, dosing and social acceptance of cannabis, including CBD and other cannabinoids;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 and regulations and any amendments thereto applicable to our business and the impact thereof, including uncertainty regarding the application of U.S. state and federal law to cannabis and U.S. hemp (including CBD and other U.S. hemp-derived cannabinoids) products and the scope of any regulations by the U.S. Department of Health and Human Services (“HHS”), U.S. Food and Drug Administration (the “FDA”), the U.S. Drug Enforcement Administration (the “DEA”), the U.S. Federal Trade Commission (the “FTC”), the U.S. Patent and Trademark Office (the “PTO”) and any state equivalent regulatory agencies over cannabis and U.S. hemp (including CBD and other U.S. hemp-derived cannabinoids) products, including the final order issued by the U.S. Department of Justice (the “DOJ”) in April 2026, which moved certain categories of medical marijuana products from Schedule I to Schedule III of the U.S. Controlled Substances Act and any future actions that may be taken or considered by the DOJ or other government agencies;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anticipated benefits and impact of Altria Group, Inc.’s investment in the Company (the “Altria Investment”), pursuant to a subscription agreement dated December 7, 2018;</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regarding the implementation and effectiveness of key personnel changes;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regarding business combinations and dispositions and the anticipated benefits therefrom;</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expectations of the amount or frequency of impairment losses, including as a result of the write-down of intangible assets, including goodwill;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the ongoing military conflict between Russia and Ukraine (and resulting sanctions) on our business, financial condition and results of operations or cash flows;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compliance with the terms of the settlement (the “Settlement Order”) with the SEC and the settlement agreement (the “Settlement Agreement”) with the Ontario Securities Commission (the “OSC”);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the loss of our ability to rely on private offering exemptions under Regulation A and Regulation D of the Securities Act of 1933, as amended (the “Securities Act”), as a result of the Settlement Order.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20"/>
        </w:rPr>
        <w:t>The Forward-Looking Statements contained herein are based upon certain material assumptions that were applied in drawing a conclusion or making a forecast or projection, including: (i) our ability to effectively navigate developments related to the Anti-Dumping Matters, any anti-dumping duty or other measure that may be imposed and the impact thereof on our operations in Israel; (ii) our ability to effectively navigate developments related to the Middle East Conflict and its impact on our employees, facilities and operations in Israel, the supply of product in the market and demand for product by medical patients in Israel, and our operating costs; (iii) our ability to efficiently and effectively maintain and expand our distribution of our PEACE NATURALS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in markets outside of Canada and Israel; (iv) our ability to identify and execute legally permissible opportunities to re-enter the U.S. market; (v) our ability to realize the expected cost-savings, efficiencies and other benefits of our Realignment and other announced cost-cutting measures and employee turnover related thereto; (vi) our ability to efficiently and effectively manage our operations at our Peace Naturals Campus; (vii) our ability to efficiently and effectively acquire raw materials on a timely and cost-effective basis from third parties or Cronos GrowCo; (viii) our ability to realize the expected benefits related to the expansion of Cronos GrowCo’s purpose-built cannabis facility (including the quantity and quality of any additional supply provided thereby and the stability of pricing and demand with respect to such supply) and the ability of Cronos GrowCo to repay the credit facility provided by Cronos; (ix) High Tide’s ability to repay the High Tide Loan, the performance of the High Tide Loan and the High Tide Warrant, and our ability to realize benefits related to the performance of the High Tide Warrant; (x) our ability to complete the acquisition of CanAdelaar on the terms and within the timelines anticipated, including the timely receipt of required regulatory approvals and the satisfaction of other closing conditions, and our ability to realize any expected benefits, synergies and operational performance associated with such acquisition; (xi) our ability to realize anticipated benefits, synergies or generate revenue, profits or value from our business combinations and strategic investments; (xii) the production and manufacturing capabilities and output from our facilities and our joint ventures, strategic alliances and equity investments; (xiii) government regulation of our activities and products including, but not limited to, the areas of cannabis taxation and environmental protection; (xiv) the timely receipt of any required regulatory authorizations, approvals, consents, permits and/or licenses; (xv) consumer interest in and the scalability of our products; (xvi) our ability to differentiate our products, including through the utilization of rare cannabinoids; (xvii) competition; (xviii) anticipated and unanticipated costs; (xix) our ability to generate cash flow from operations and the sufficiency of our cash and cash equivalents and short-term investments to fund our business operations, acquisitions, strategic investments, share repurchases and capital expenditures; (xx) our ability to conduct operations in a safe, efficient and effective manner; (xxi) our ability to hire and retain qualified staff and acquire equipment and services in a timely and cost-efficient manner; (xxii) our ability to complete planned dispositions and, if completed, obtain our anticipated sales price; (xxiii) general economic, financial market, regulatory and political conditions in which we operate; (xxiv) management’s perceptions of historical trends, current conditions and expected future developments; and (xxv) other 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Quarterly Report and other reports we file with, or furnish to, the SEC and other regulatory agencies and made by our directors, officers, other employees and other persons authorized to speak on our behalf. Such factors include, without limitation, negative impacts on our business and operations in Israel due to the Anti-Dumping Matters, including that we may not be able to produce, import or sell our products in Israel as a result thereof; negative impacts on our employees, business, facilities and operations in Israel due to the Middle East Conflict, including that we may not be able to produce, import or sell our products or protect our people or facilities in Israel during the Middle East Conflict, the supply of product in the market and the demand for product by medical patients in Israel, and inflationary pressures and related increases in input, production, transportation and other operating costs, as well as potential impacts on consumer purchasing power; that we may not be able to successfully maintain or expand distribution of our products in our markets outside of Canada or Israel or generate meaningful revenue in those markets; that we may be unable to further streamline our operations and expenses; that we may not be able to effectively and efficiently re-enter the U.S. market in the future; that we may not be able to access raw materials on a timely and cost-effective basis from third parties or Cronos GrowCo; that the expected benefits of the expansion of Cronos GrowCo’s purpose-built cannabis facility (including any additional supply provided thereby) may not be fully realized within a reasonable time or at all or that Cronos GrowCo may not be able to repay its borrowings under the credit facility provided by Cronos; that the expected benefits of the High Tide Warrant and the High Tide Loan may not be fully realized within a reasonable time or at all or that High Tide may not be able to repay its borrowings under the High Tide Loan; that we may not be able to consummate our planned acquisition of CanAdelaar on the anticipated timeline or at all;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that our Realignment and our further leveraging of our strategic partnerships will not result in the expected cost-savings, efficiencies and other benefits or will result in greater than anticipated turnover in personnel; that we may not be able to efficiently and effectively manage our operations, and any changes thereto, at our Peace Naturals Campus; lower levels of revenues; the lack of consumer demand for or our inability or challenges in successfully scaling our products; our inability to manage disruptions in credit markets; unanticipated future levels of capital, environmental or maintenance expenditures, general and administrative and other expenses; failure to realize expected growth opportunities; insufficient cash flow, liquidity or capital resources to execute our business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(either within the expected timeframe or at all), fund our operations, acquisitions, strategic investments, share repurchases or capital expenditures;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and U.S. hemp products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our failure to improve our internal control environment and our systems, processes and procedures; and the factors discussed under Part II, Item 1A “Risk Factors” in this Quarterly Report. Readers are cautioned to consider these and other factors, uncertainties and potential events carefully and not to put undue reliance on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Quarterly Report and other reports we file with, or furnish to, the SEC and other regulatory agencies and made by our directors, officers, other employees and other persons authorized to speak on our behalf are expressly qualified in their entirety by these cautionary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currency amounts in this Quarterly Report are stated in U.S. dollars, which is our reporting currency, unless otherwise noted. All references to “dollars” or “$” are to U.S. dollars. The assets and liabilities of our foreign operations are translated into dollars at the exchange rate in effect as of June 30, 2026, June 30, 2025, and December 31, 2025. Transactions affecting the shareholders’ equity (deficit) are translated at historical foreign exchange rates. The condensed consolidated statements of net income (loss) and comprehensive income (loss) and condensed consolidated statements of cash flows of our foreign operations are translated into dollars by applying the average foreign exchange rate in effect for the reporting period as reported on Bloomberg.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exchange rates used to translate from Canadian dollars (“C$”) to dollars are shown below:</w:t>
      </w:r>
    </w:p>
    <w:tbl>
      <w:tblPr>
        <w:tblW w:w="7341" w:type="dxa"/>
        <w:jc w:val="left"/>
        <w:tblInd w:w="0" w:type="dxa"/>
        <w:tblLayout w:type="fixed"/>
        <w:tblCellMar>
          <w:top w:w="28" w:type="dxa"/>
          <w:left w:w="28" w:type="dxa"/>
          <w:bottom w:w="28" w:type="dxa"/>
          <w:right w:w="28" w:type="dxa"/>
        </w:tblCellMar>
      </w:tblPr>
      <w:tblGrid>
        <w:gridCol w:w="1047"/>
        <w:gridCol w:w="921"/>
        <w:gridCol w:w="927"/>
        <w:gridCol w:w="374"/>
        <w:gridCol w:w="374"/>
        <w:gridCol w:w="376"/>
        <w:gridCol w:w="109"/>
        <w:gridCol w:w="109"/>
        <w:gridCol w:w="109"/>
        <w:gridCol w:w="374"/>
        <w:gridCol w:w="374"/>
        <w:gridCol w:w="376"/>
        <w:gridCol w:w="109"/>
        <w:gridCol w:w="109"/>
        <w:gridCol w:w="109"/>
        <w:gridCol w:w="452"/>
        <w:gridCol w:w="452"/>
        <w:gridCol w:w="640"/>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C$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exchange rates used to translate from New Israeli Shekels (“ILS”) to dollars are shown below: </w:t>
      </w:r>
    </w:p>
    <w:tbl>
      <w:tblPr>
        <w:tblW w:w="7386" w:type="dxa"/>
        <w:jc w:val="left"/>
        <w:tblInd w:w="0" w:type="dxa"/>
        <w:tblLayout w:type="fixed"/>
        <w:tblCellMar>
          <w:top w:w="28" w:type="dxa"/>
          <w:left w:w="28" w:type="dxa"/>
          <w:bottom w:w="28" w:type="dxa"/>
          <w:right w:w="28" w:type="dxa"/>
        </w:tblCellMar>
      </w:tblPr>
      <w:tblGrid>
        <w:gridCol w:w="1063"/>
        <w:gridCol w:w="935"/>
        <w:gridCol w:w="942"/>
        <w:gridCol w:w="374"/>
        <w:gridCol w:w="374"/>
        <w:gridCol w:w="376"/>
        <w:gridCol w:w="109"/>
        <w:gridCol w:w="109"/>
        <w:gridCol w:w="109"/>
        <w:gridCol w:w="374"/>
        <w:gridCol w:w="374"/>
        <w:gridCol w:w="376"/>
        <w:gridCol w:w="109"/>
        <w:gridCol w:w="109"/>
        <w:gridCol w:w="109"/>
        <w:gridCol w:w="452"/>
        <w:gridCol w:w="452"/>
        <w:gridCol w:w="640"/>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(Exchange rates are shown as ILS per $)</w:t>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Spot rate</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Year-to-date average rate</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120"/>
        <w:jc w:val="both"/>
        <w:rPr/>
      </w:pPr>
      <w:r>
        <w:rPr>
          <w:rFonts w:ascii="Times New Roman;serif" w:hAnsi="Times New Roman;serif"/>
          <w:b w:val="false"/>
          <w:color w:val="000000"/>
          <w:sz w:val="20"/>
        </w:rPr>
        <w:t>Cronos is a global cannabis company focused on scaling leading consumer goods products through research and development and innovation. With a passion to responsibly elevate the consumer experience, Cronos is building an iconic brand portfolio. Cronos’ diverse international brand portfolio includes Spinach</w:t>
      </w:r>
      <w:r>
        <w:rPr>
          <w:rFonts w:ascii="Times New Roman;serif" w:hAnsi="Times New Roman;serif"/>
          <w:b w:val="false"/>
          <w:color w:val="000000"/>
          <w:sz w:val="13"/>
        </w:rPr>
        <w:t>®</w:t>
      </w:r>
      <w:r>
        <w:rPr>
          <w:rFonts w:ascii="Times New Roman;serif" w:hAnsi="Times New Roman;serif"/>
          <w:b w:val="false"/>
          <w:color w:val="000000"/>
          <w:sz w:val="20"/>
        </w:rPr>
        <w:t>, PEACE NATURALS</w:t>
      </w:r>
      <w:r>
        <w:rPr>
          <w:rFonts w:ascii="Times New Roman;serif" w:hAnsi="Times New Roman;serif"/>
          <w:b w:val="false"/>
          <w:color w:val="000000"/>
          <w:sz w:val="13"/>
        </w:rPr>
        <w:t>®</w:t>
      </w:r>
      <w:r>
        <w:rPr>
          <w:rFonts w:ascii="Times New Roman;serif" w:hAnsi="Times New Roman;serif"/>
          <w:b w:val="false"/>
          <w:color w:val="000000"/>
          <w:sz w:val="20"/>
        </w:rPr>
        <w:t>, LIT™ and Lord Jones</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Cronos seeks to create value for shareholders by focusing on four core strategic priorities: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growing a portfolio of iconic brands that responsibly elevate the consumer experience;</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developing a diversified global sales and distribution network;</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establishing an efficient global supply chain;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creating and monetizing disruptive intellectual property.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Business Segment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Cronos reports through one consolidated segment, which includes operations in both Canada and Israel. In Canada, Cronos operates one wholly owned license holder under the Cannabis Act (Canada) (the “Cannabis Act”), Peace Naturals Project Inc. (“Peace Naturals”), which has production facilities in Stayner, Ontario (the “Peace Naturals Campus”). Cronos also consolidates the results of operations of Cronos GrowCo in its consolidated financial statements. Cronos maintains its 50% equity interest in Cronos GrowCo. Cronos GrowCo’s production facilities are licensed under the Cannabis Act and represent the Company’s principal source of cannabis.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Israel, the Company operates under the Good Agricultural Practices (“IMC-GAP”), Good Manufacturing Practices (“IMC-GMP”) and Good Distribution Practices (“IMC-GDP”) certifications required for the cultivation, production, distribution and marketing of medical cannabis products in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CanAdelaar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9, 2025, the Company entered into a definitive share sale and purchase agreement (the “SPA”) to acquire all of the issued and outstanding shares of CanAdelaar, one of ten licensed cannabis producers participating in the Dutch Controlled Cannabis Supply Chain Experiment.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8, 2026, the Company entered into an amendment to the SPA pursuant to which the parties agreed to extend the Long Stop Date (as defined in the SPA) for closing of the acquisition from June 9, 2026 to September 9, 2026. The extension provides additional time to satisfy certain closing conditions, including obtaining required regulatory clearance in the Netherlands, receipt of confirmations relating to CanAdelaar’s licenses and completion of the Bibob review (a background check conducted by Dutch authorities). No other material changes were made to the terms of the transaction.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expects the acquisition to close in the second half of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Conflict in Middle East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Middle East Conflict, including the recent escalation involving the United States, Israel and Iran, has contributed to increased energy and shipping costs. The impact of these cost increases on the Company’s results for the three and six months ended June 30, 2026 was not material. The Company is monitoring these impacts and pursuing mitigation efforts through supply chain optimization and cost reduction initiatives.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 Marijuana Scheduling Developments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2026, the DOJ announced a final rule placing certain FDA-approved marijuana products and marijuana products subject to qualifying state medical marijuana licenses in Schedule III of the U.S. Controlled Substances Act and announced a new administrative hearing process regarding the broader proposed rescheduling of marijuana. The Company continues to monitor these developments and assess whether they may have any implications for its business.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Anti-Dumping Matters in Israel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2026, the Trade Levies Commissioner of the Israel Ministry of Economy and Industry announced the opening of a new investigation into alleged dumping of medical cannabis imports from Canada. This announcement followed the 2024 investigation by the Commissioner, which did not result in the imposition of an anti-dumping duty. On July 28, 2026, the Commissioner terminated the investigation on procedural grounds. The termination was not based on a substantive determination of the merits and did not preclude another complaint or a new investigation.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30, 2026, a new complaint concerning imports of medical cannabis from Canada was filed on behalf of the Israeli domestic industry. On August 2, 2026, the Commissioner notified the Government of Canada that the new complaint contained sufficient prima facie evidence of dumping, material injury to the domestic industry and a causal link between the alleged dumping and injury. On August 5, 2026, the Commissioner notified the Company of the initiation of a new investigation. The Company disputes the allegations underlying these matters and cannot predict the timing or outcome of the new investigation or any related proceeding, or whether any provisional or final anti-dumping duty or other import restriction will ultimately be imposed.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120"/>
        <w:jc w:val="both"/>
        <w:rPr/>
      </w:pPr>
      <w:r>
        <w:rPr>
          <w:rFonts w:ascii="Times New Roman;serif" w:hAnsi="Times New Roman;serif"/>
          <w:b w:val="false"/>
          <w:color w:val="000000"/>
          <w:sz w:val="20"/>
          <w:shd w:fill="FFFFFF" w:val="clear"/>
        </w:rPr>
        <w:t>The tables below set forth our condensed consolidated results of operations, expressed in thousands of U.S. dollars for the periods presented. Our condensed consolidated financial results for these periods are not necessarily indicative of the consolidated financial results that we will achieve in future periods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15"/>
        <w:gridCol w:w="1316"/>
        <w:gridCol w:w="1321"/>
        <w:gridCol w:w="391"/>
        <w:gridCol w:w="338"/>
        <w:gridCol w:w="338"/>
        <w:gridCol w:w="201"/>
        <w:gridCol w:w="201"/>
        <w:gridCol w:w="201"/>
        <w:gridCol w:w="391"/>
        <w:gridCol w:w="397"/>
        <w:gridCol w:w="397"/>
        <w:gridCol w:w="109"/>
        <w:gridCol w:w="109"/>
        <w:gridCol w:w="109"/>
        <w:gridCol w:w="352"/>
        <w:gridCol w:w="390"/>
        <w:gridCol w:w="391"/>
        <w:gridCol w:w="181"/>
        <w:gridCol w:w="181"/>
        <w:gridCol w:w="181"/>
        <w:gridCol w:w="352"/>
        <w:gridCol w:w="345"/>
        <w:gridCol w:w="498"/>
      </w:tblGrid>
      <w:tr>
        <w:trPr/>
        <w:tc>
          <w:tcPr>
            <w:tcW w:w="1515"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before excise taxes</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70,597</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86,150</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(31,345)</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(20,433)</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37,393</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22,539</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28,310</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48,282</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(22,343)</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r>
      <w:tr>
        <w:trPr/>
        <w:tc>
          <w:tcPr>
            <w:tcW w:w="4152"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r>
      <w:tr>
        <w:trPr/>
        <w:tc>
          <w:tcPr>
            <w:tcW w:w="4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r>
      <w:tr>
        <w:trPr/>
        <w:tc>
          <w:tcPr>
            <w:tcW w:w="4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Cronos Group</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45,837</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(33,589)</w:t>
            </w:r>
          </w:p>
        </w:tc>
      </w:tr>
    </w:tbl>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Summary of select financial results</w:t>
      </w:r>
    </w:p>
    <w:tbl>
      <w:tblPr>
        <w:tblW w:w="10669" w:type="dxa"/>
        <w:jc w:val="left"/>
        <w:tblInd w:w="0" w:type="dxa"/>
        <w:tblLayout w:type="fixed"/>
        <w:tblCellMar>
          <w:top w:w="28" w:type="dxa"/>
          <w:left w:w="28" w:type="dxa"/>
          <w:bottom w:w="28" w:type="dxa"/>
          <w:right w:w="28" w:type="dxa"/>
        </w:tblCellMar>
      </w:tblPr>
      <w:tblGrid>
        <w:gridCol w:w="412"/>
        <w:gridCol w:w="363"/>
        <w:gridCol w:w="261"/>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232"/>
        <w:gridCol w:w="234"/>
        <w:gridCol w:w="316"/>
        <w:gridCol w:w="109"/>
        <w:gridCol w:w="109"/>
        <w:gridCol w:w="109"/>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284"/>
        <w:gridCol w:w="287"/>
        <w:gridCol w:w="361"/>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margin</w:t>
            </w:r>
            <w:r>
              <w:rPr>
                <w:rFonts w:ascii="Times New Roman;serif" w:hAnsi="Times New Roman;serif"/>
                <w:b w:val="false"/>
                <w:color w:val="000000"/>
                <w:sz w:val="13"/>
              </w:rPr>
              <w:t>(i)</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Gross margin is defined as gross profit divided by net revenue.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reported consolidated net revenue of $53.0 million, representing an increase of $19.6 million from the three months ended June 30, 2025. For the six months ended June 30, 2026, we reported consolidated net revenue of $98.2 million, representing an increase of $32.5 million from the six months ended June 30, 2025. For both the three and six month comparative periods, the increase was primarily due to higher cannabis flower sales in Israel and other countries, specifically Germany, which carry no excise taxes, and higher cannabis flower and extract sales in the Canadian market. In addition, net revenue for both comparative periods benefited from the strengthening of the New Israeli Shekel versus the U.S. dollar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reported consolidated cost of sales of $24.2 million, representing an increase of $5.3 million from the three months ended June 30, 2025. For the six months ended June 30, 2026, we reported consolidated cost of sales of $49.6 million, representing an increase of $12.2 million from the six months ended June 30, 2025. For both the three and six month comparative periods, the increase was primarily due to higher sales volumes in the period. For the six months ended June 30, 2025, we recognized $0.5 million of inventory step-up from the Cronos GrowCo Transaction into cost of sales. No such costs were recognized for the three months ended June 30, 2025 or the three and six months ended June 30,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Inventory write-down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reported inventory write-downs of $0.4 million, representing an increase of $0.3 million from the three months ended June 30, 2025. For the six months ended June 30, 2026, we reported inventory write-downs of $1.1 million, representing an increase of $1.0 million from the six months ended June 30, 2025. Inventory write-downs for both the three and six months ended June 30, 2026 and 2025, relate to unusable inventory that was scrapped in the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reported gross profit of $28.5 million, representing an increase of $13.9 million from the three months ended June 30, 2025. For the six months ended June 30, 2026, we reported gross profit of $47.6 million, representing an increase of $19.4 million from the six months ended June 30, 2025. For both the three and six month comparative periods, the increase was primarily due to higher average sales prices, largely driven by a mix shift to Israel and other countries, which carry no excise taxes, and higher sales volumes. Higher sales volumes led to higher net revenue and efficiencies as fixed overhead costs were spread over greater volumes. For the six months ended June 30, 2025, gross profit was reduced by $0.5 million as a result of the impact of the inventory step-up from the Cronos GrowCo Transaction that was recorded into cost of sales. No such costs were recognized for the three months ended June 30, 2025 or the three and six months ended June 30, 2026.</w:t>
      </w:r>
    </w:p>
    <w:tbl>
      <w:tblPr>
        <w:tblW w:w="10487" w:type="dxa"/>
        <w:jc w:val="left"/>
        <w:tblInd w:w="0" w:type="dxa"/>
        <w:tblLayout w:type="fixed"/>
        <w:tblCellMar>
          <w:top w:w="28" w:type="dxa"/>
          <w:left w:w="28" w:type="dxa"/>
          <w:bottom w:w="28" w:type="dxa"/>
          <w:right w:w="28" w:type="dxa"/>
        </w:tblCellMar>
      </w:tblPr>
      <w:tblGrid>
        <w:gridCol w:w="687"/>
        <w:gridCol w:w="301"/>
        <w:gridCol w:w="303"/>
        <w:gridCol w:w="248"/>
        <w:gridCol w:w="337"/>
        <w:gridCol w:w="339"/>
        <w:gridCol w:w="109"/>
        <w:gridCol w:w="109"/>
        <w:gridCol w:w="109"/>
        <w:gridCol w:w="248"/>
        <w:gridCol w:w="337"/>
        <w:gridCol w:w="339"/>
        <w:gridCol w:w="109"/>
        <w:gridCol w:w="109"/>
        <w:gridCol w:w="109"/>
        <w:gridCol w:w="211"/>
        <w:gridCol w:w="616"/>
        <w:gridCol w:w="109"/>
        <w:gridCol w:w="109"/>
        <w:gridCol w:w="109"/>
        <w:gridCol w:w="109"/>
        <w:gridCol w:w="187"/>
        <w:gridCol w:w="189"/>
        <w:gridCol w:w="271"/>
        <w:gridCol w:w="109"/>
        <w:gridCol w:w="109"/>
        <w:gridCol w:w="109"/>
        <w:gridCol w:w="248"/>
        <w:gridCol w:w="338"/>
        <w:gridCol w:w="338"/>
        <w:gridCol w:w="109"/>
        <w:gridCol w:w="109"/>
        <w:gridCol w:w="109"/>
        <w:gridCol w:w="248"/>
        <w:gridCol w:w="337"/>
        <w:gridCol w:w="339"/>
        <w:gridCol w:w="109"/>
        <w:gridCol w:w="109"/>
        <w:gridCol w:w="109"/>
        <w:gridCol w:w="211"/>
        <w:gridCol w:w="616"/>
        <w:gridCol w:w="109"/>
        <w:gridCol w:w="109"/>
        <w:gridCol w:w="109"/>
        <w:gridCol w:w="109"/>
        <w:gridCol w:w="187"/>
        <w:gridCol w:w="189"/>
        <w:gridCol w:w="316"/>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sales and marketing expenses were $6.8 million, representing an increase of $1.4 million compared to the three months ended June 30, 2025. For the six months ended June 30, 2026, sales and marketing expenses were $12.4 million, representing an increase of $2.5 million from the six months ended June 30, 2025. For both the three and six month comparative periods, the increase was primarily due to higher trade marketing expenses and higher salaries and benefits.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research and development expenses were $1.2 million, representing an increase of $0.3 million compared to the three months ended June 30, 2025. For the six months ended June 30, 2026, research and development expenses were $2.6 million, representing an increase of $0.9 million from the six months ended June 30, 2025. For both the three and six month comparative periods, the increase was primarily due to increased testing, clinical study and other product development activity, as well as higher salaries and benefits.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general and administrative expenses were $10.8 million, representing an increase of $0.3 million from the three months ended June 30, 2025. For the six months ended June 30, 2026, general and administrative expenses were $22.5 million, representing an increase of $2.7 million from the six months ended June 30, 2025. For the three month comparative period, the increase was primarily due to higher transaction costs related to the pending CanAdelaar acquisition and higher professional fees, partially offset by the recovery of previously assessed excise tax stamp penalties as well as lower anti-dumping and restatement litigation costs. For the six month comparative period, the increase was primarily due to higher transaction costs related to the pending CanAdelaar acquisition, higher salaries and benefits, and higher professional fees, partially offset by the recovery of excise tax stamp penalties as well as lower anti-dumping costs and restatement litigation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Restructuring costs</w:t>
      </w:r>
    </w:p>
    <w:p>
      <w:pPr>
        <w:pStyle w:val="TextBody"/>
        <w:bidi w:val="0"/>
        <w:spacing w:lineRule="auto" w:line="288" w:before="120" w:after="120"/>
        <w:jc w:val="both"/>
        <w:rPr/>
      </w:pPr>
      <w:r>
        <w:rPr>
          <w:rFonts w:ascii="Times New Roman;serif" w:hAnsi="Times New Roman;serif"/>
          <w:b w:val="false"/>
          <w:color w:val="000000"/>
          <w:sz w:val="20"/>
        </w:rPr>
        <w:t>For the three months ended June 30, 2026, restructuring costs were $0.3 million, representing a decrease of $0.5 million from the three months ended June 30, 2025. For the six months ended June 30, 2026, restructuring costs were $0.8 million, representing a decrease of $0.5 million from the six months ended June 30, 2025. For further information, see Note 7 “</w:t>
      </w: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to the condensed consolidated interim financial statements under Item 1 of this Quarterly Report.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share-based compensation expense was $1.6 million, representing an increase of $0.2 million from the three months ended June 30, 2025. For the six months ended June 30, 2026, share-based compensation expense was $2.9 million, representing a decrease of $0.6 million from the six months ended June 30, 2025. For the three month comparative period, the increase was primarily due to the inclusion of revaluation expense on our deferred share units in share-based compensation in the current period. For the six month comparative period, the decrease was primarily due to lower average amounts of share-based compensation awards outstanding, partially offset by the inclusion of revaluation expense on our deferred share units in share-based compensation in the current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depreciation and amortization expenses were $0.4 million, representing a decrease of $0.5 million from the three months ended June 30, 2025. For the six months ended June 30, 2026, depreciation and amortization expenses were $0.8 million, representing a decrease of $0.6 million from the six months ended June 30, 2025. For both the three and six month comparative periods, the decrease was primarily due to lower amortization of intangible assets and depreciation of property, plant and equipment.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and income tax provision (benefit)</w:t>
      </w:r>
    </w:p>
    <w:tbl>
      <w:tblPr>
        <w:tblW w:w="10531" w:type="dxa"/>
        <w:jc w:val="left"/>
        <w:tblInd w:w="0" w:type="dxa"/>
        <w:tblLayout w:type="fixed"/>
        <w:tblCellMar>
          <w:top w:w="28" w:type="dxa"/>
          <w:left w:w="28" w:type="dxa"/>
          <w:bottom w:w="28" w:type="dxa"/>
          <w:right w:w="28" w:type="dxa"/>
        </w:tblCellMar>
      </w:tblPr>
      <w:tblGrid>
        <w:gridCol w:w="787"/>
        <w:gridCol w:w="244"/>
        <w:gridCol w:w="245"/>
        <w:gridCol w:w="248"/>
        <w:gridCol w:w="285"/>
        <w:gridCol w:w="286"/>
        <w:gridCol w:w="109"/>
        <w:gridCol w:w="109"/>
        <w:gridCol w:w="109"/>
        <w:gridCol w:w="248"/>
        <w:gridCol w:w="367"/>
        <w:gridCol w:w="369"/>
        <w:gridCol w:w="109"/>
        <w:gridCol w:w="109"/>
        <w:gridCol w:w="109"/>
        <w:gridCol w:w="211"/>
        <w:gridCol w:w="510"/>
        <w:gridCol w:w="109"/>
        <w:gridCol w:w="109"/>
        <w:gridCol w:w="109"/>
        <w:gridCol w:w="109"/>
        <w:gridCol w:w="239"/>
        <w:gridCol w:w="242"/>
        <w:gridCol w:w="271"/>
        <w:gridCol w:w="109"/>
        <w:gridCol w:w="109"/>
        <w:gridCol w:w="109"/>
        <w:gridCol w:w="237"/>
        <w:gridCol w:w="354"/>
        <w:gridCol w:w="322"/>
        <w:gridCol w:w="109"/>
        <w:gridCol w:w="109"/>
        <w:gridCol w:w="109"/>
        <w:gridCol w:w="211"/>
        <w:gridCol w:w="721"/>
        <w:gridCol w:w="109"/>
        <w:gridCol w:w="109"/>
        <w:gridCol w:w="109"/>
        <w:gridCol w:w="109"/>
        <w:gridCol w:w="211"/>
        <w:gridCol w:w="510"/>
        <w:gridCol w:w="109"/>
        <w:gridCol w:w="109"/>
        <w:gridCol w:w="109"/>
        <w:gridCol w:w="109"/>
        <w:gridCol w:w="239"/>
        <w:gridCol w:w="242"/>
        <w:gridCol w:w="316"/>
      </w:tblGrid>
      <w:tr>
        <w:trPr/>
        <w:tc>
          <w:tcPr>
            <w:tcW w:w="78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revaluation of financial instruments</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held-for-sale assets</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 on non-operating loan</w:t>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(loss)</w:t>
            </w:r>
          </w:p>
        </w:tc>
        <w:tc>
          <w:tcPr>
            <w:tcW w:w="8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1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both"/>
        <w:rPr/>
      </w:pPr>
      <w:r>
        <w:rPr>
          <w:rFonts w:ascii="Times New Roman;serif" w:hAnsi="Times New Roman;serif"/>
          <w:b w:val="false"/>
          <w:color w:val="000000"/>
          <w:sz w:val="10"/>
        </w:rPr>
        <w:t>(i)</w:t>
      </w:r>
      <w:r>
        <w:rPr>
          <w:color w:val="000000"/>
        </w:rPr>
        <w:t>“</w:t>
      </w:r>
      <w:r>
        <w:rPr>
          <w:rFonts w:ascii="Times New Roman;serif" w:hAnsi="Times New Roman;serif"/>
          <w:b w:val="false"/>
          <w:color w:val="000000"/>
          <w:sz w:val="16"/>
        </w:rPr>
        <w:t>N/M” is defined as not meaningful.</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interest income, net was $8.8 million, representing a decrease of $0.2 million from the three months ended June 30, 2025. For the six months ended June 30, 2026, interest income, net was $17.7 million, representing a decrease of $1.0 million from the six months ended June 30, 2025. For both the three and six month comparative periods, the decrease in interest income, net was primarily due to lower interest rates in the current period, partially offset by interest on our High Tide Loan in the current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Loss on revaluation of financial instruments</w:t>
      </w:r>
    </w:p>
    <w:p>
      <w:pPr>
        <w:pStyle w:val="TextBody"/>
        <w:bidi w:val="0"/>
        <w:spacing w:lineRule="auto" w:line="288" w:before="120" w:after="120"/>
        <w:jc w:val="both"/>
        <w:rPr/>
      </w:pPr>
      <w:r>
        <w:rPr>
          <w:rFonts w:ascii="Times New Roman;serif" w:hAnsi="Times New Roman;serif"/>
          <w:b w:val="false"/>
          <w:color w:val="000000"/>
          <w:sz w:val="20"/>
        </w:rPr>
        <w:t>For the three months ended June 30, 2026, the loss on revaluation of financial instruments was $0.6 million, essentially flat from the three months ended June 30, 2025. For the six months ended June 30, 2026, the loss on revaluation of financial instruments was $3.1 million, representing a deterioration of $2.5 million from the six months ended June 30, 2025. For the six month comparative period, the increased loss was primarily related to the change in fair value of our High Tide Warrant and our investment in Vitura Health Limited (“Vitura”). For further information, see Note 3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to the condensed consolidated interim financial statements under Item 1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Foreign currency gain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foreign currency gain was $20.2 million, representing an improvement of $59.8 million from the three months ended June 30, 2025. For the six months ended June 30, 2026, foreign currency gain was $33.9 million, representing an improvement of $71.9 million from the six months ended June 30, 2025. The change was primarily due to the strengthening of the U.S. dollar compared to the Canadian dollar impacting the revaluation of certain foreign currency-denominated cash equivalents and short-term investments held in Canada, as well as the strengthening of the New Israeli Shekel compared to the Canadian dollar impacting the revaluation of certain foreign currency-denominated intercompany loans anticipated to be settled in the foreseeable future.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Loss on held-for-sale assets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both the three and six months ended June 30, 2025, we recognized a loss on held-for-sale assets of $2.5 million, relating to a decrease in the fair value of the Cronos Fermentation Facility held-for-sale assets group (the “Cronos Fermentation Held-For-Sale Assets Group”). There were no such losses on held-for-sale assets for the three and six months ended June 30, 2026. For further information, see Note 7 “Restructuring” to the condensed consolidated interim financial statements under Item 1 of this Quarterly Report.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Change in allowance for credit loss on non-operating loan</w:t>
      </w:r>
    </w:p>
    <w:p>
      <w:pPr>
        <w:pStyle w:val="TextBody"/>
        <w:bidi w:val="0"/>
        <w:spacing w:lineRule="auto" w:line="288" w:before="120" w:after="120"/>
        <w:jc w:val="both"/>
        <w:rPr/>
      </w:pPr>
      <w:r>
        <w:rPr>
          <w:rFonts w:ascii="Times New Roman;serif" w:hAnsi="Times New Roman;serif"/>
          <w:b w:val="false"/>
          <w:color w:val="000000"/>
          <w:sz w:val="20"/>
        </w:rPr>
        <w:t>For the three and six months ended June 30, 2026, change in allowance for credit loss on non-operating loan was $0.1 million and $0.2 million, respectively. There was no such activity during the three and six months ended June 30, 2025. The expense relates to the change in the allowance for credit loss on the High Tide Loan. For further information, see Note 4 “</w:t>
      </w:r>
      <w:r>
        <w:rPr>
          <w:rFonts w:ascii="Times New Roman;serif" w:hAnsi="Times New Roman;serif"/>
          <w:b w:val="false"/>
          <w:i/>
          <w:color w:val="000000"/>
          <w:sz w:val="20"/>
        </w:rPr>
        <w:t>Loans Receivable, net</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other, net was essentially nil. For the six months ended June 30, 2026, other, net primarily related to non-operating rental income, partially offset by a loss on disposal of assets. For the six months ended June 30, 2025, other, net primarily related to gains and losses on the disposal of assets.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Income tax provision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income tax provision was $0.1 million, compared to a benefit of $0.5 million for the three months ended June 30, 2025. For the six months ended June 30, 2026, income tax provision was $2.5 million, compared to a benefit of $1.0 million for the six months ended June 30, 2025. For both the three and six month comparative periods, the increased expense was primarily due to decreased net operating loss utilization in the current period.</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net income was $35.7 million, compared to a net loss of $38.5 million for the three months ended June 30, 2025. For the six months ended June 30, 2026, net income was $51.4 million, compared to a net loss of $30.8 million for the six months ended June 30, 2025. For both the three and six month comparative periods, the improvement in net income was primarily due to higher gross profit and other income, partially offset by higher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Cronos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our results of operations from management’s perspective. Accordingly, non-GAAP measures should not be considered a substitute for, or superior to, the financial information prepared and presented in accordance with U.S. GAAP. All non-GAAP measures presented in this Quarterly Report are reconciled to their closest reported U.S. GAAP measure. Reconciliations of historical adjusted financial measures to corresponding U.S. GAAP measures are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120"/>
        <w:jc w:val="both"/>
        <w:rPr/>
      </w:pPr>
      <w:r>
        <w:rPr>
          <w:rFonts w:ascii="Times New Roman;serif" w:hAnsi="Times New Roman;serif"/>
          <w:b w:val="false"/>
          <w:color w:val="000000"/>
          <w:sz w:val="20"/>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gain on revaluation of loan receivable; gain on revaluation of equity method investment; transaction costs related to strategic projects; loss on held-for-sale assets; impairment loss on other investments; foreign currency transaction (gain) loss; other, net; loss from discontinued operations; change in allowance for credit loss on non-operating loan; restructuring costs; inventory write-downs resulting from restructuring actions; share-based compensation; costs related to the Israel Ministry of Economy and Industry dumping inquiry; purchase accounting adjustment-related inventory step-up adjustments recorded through cost of sales; and restatement litigation costs and reserves related to the restatements of our 2019 and 2021 interim financial statements (the “Restatements”), including the costs related to the settlement of the SEC’s and the OSC’s investigations of the Restatements and legal costs of defending shareholder class action complaints brought against us as a result of the 2019 restatement (see Note 10(b) “</w:t>
      </w:r>
      <w:r>
        <w:rPr>
          <w:rFonts w:ascii="Times New Roman;serif" w:hAnsi="Times New Roman;serif"/>
          <w:b w:val="false"/>
          <w:i/>
          <w:color w:val="000000"/>
          <w:sz w:val="20"/>
        </w:rPr>
        <w:t>Contingencies,</w:t>
      </w:r>
      <w:r>
        <w:rPr>
          <w:color w:val="000000"/>
        </w:rPr>
        <w:t xml:space="preserve">” </w:t>
      </w:r>
      <w:r>
        <w:rPr>
          <w:rFonts w:ascii="Times New Roman;serif" w:hAnsi="Times New Roman;serif"/>
          <w:b w:val="false"/>
          <w:color w:val="000000"/>
          <w:sz w:val="20"/>
        </w:rPr>
        <w:t>to the condensed consolidated financial statements under Item 1 of this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believes that Adjusted EBITDA provides useful insight into underlying business trends and results and facilitates comparison of period-over-period results. Management uses Adjusted EBITDA for planning, forecasting and evaluating business and financial performance, including allocating resources and evaluating results relative to employee compensation targets.</w:t>
      </w:r>
    </w:p>
    <w:p>
      <w:pPr>
        <w:pStyle w:val="TextBody"/>
        <w:bidi w:val="0"/>
        <w:spacing w:lineRule="auto" w:line="288" w:before="0" w:after="120"/>
        <w:jc w:val="both"/>
        <w:rPr/>
      </w:pPr>
      <w:r>
        <w:rPr>
          <w:rFonts w:ascii="Times New Roman;serif" w:hAnsi="Times New Roman;serif"/>
          <w:b w:val="false"/>
          <w:color w:val="000000"/>
          <w:sz w:val="20"/>
        </w:rPr>
        <w:t>Beginning in 2025, the Company modified the composition of Adjusted EBITDA to exclude the impact of the provision for expected credit losses recognized under ASC 326 solely with respect to the High Tide Loan (see Note 4 “</w:t>
      </w:r>
      <w:r>
        <w:rPr>
          <w:rFonts w:ascii="Times New Roman;serif" w:hAnsi="Times New Roman;serif"/>
          <w:b w:val="false"/>
          <w:i/>
          <w:color w:val="000000"/>
          <w:sz w:val="20"/>
        </w:rPr>
        <w:t>Loans Receivable, net</w:t>
      </w:r>
      <w:r>
        <w:rPr>
          <w:color w:val="000000"/>
        </w:rPr>
        <w:t xml:space="preserve">” </w:t>
      </w:r>
      <w:r>
        <w:rPr>
          <w:rFonts w:ascii="Times New Roman;serif" w:hAnsi="Times New Roman;serif"/>
          <w:b w:val="false"/>
          <w:color w:val="000000"/>
          <w:sz w:val="20"/>
        </w:rPr>
        <w:t>to the condensed consolidated financial statements under Item 1 of this Quarterly Report for further information). Management determined that excluding this non-cash provision provides investors with additional insight into period-over-period operating performance by isolating credit-risk movements unrelated to the Company’s core operations.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this change provides additional information regarding the Company’s ongoing operational results and enhances comparability with peers that do not routinely extend credit to third parties. This change does not affect the Company’s GAAP financial statements.</w:t>
      </w:r>
    </w:p>
    <w:p>
      <w:pPr>
        <w:pStyle w:val="TextBody"/>
        <w:bidi w:val="0"/>
        <w:spacing w:lineRule="auto" w:line="288" w:before="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set forth a reconciliation of Net income as determined in accordance with U.S. GAAP to Adjusted EBITDA for the periods indicated:</w:t>
      </w:r>
    </w:p>
    <w:tbl>
      <w:tblPr>
        <w:tblW w:w="8458" w:type="dxa"/>
        <w:jc w:val="left"/>
        <w:tblInd w:w="0" w:type="dxa"/>
        <w:tblLayout w:type="fixed"/>
        <w:tblCellMar>
          <w:top w:w="28" w:type="dxa"/>
          <w:left w:w="28" w:type="dxa"/>
          <w:bottom w:w="28" w:type="dxa"/>
          <w:right w:w="28" w:type="dxa"/>
        </w:tblCellMar>
      </w:tblPr>
      <w:tblGrid>
        <w:gridCol w:w="2095"/>
        <w:gridCol w:w="1839"/>
        <w:gridCol w:w="1855"/>
        <w:gridCol w:w="518"/>
        <w:gridCol w:w="1773"/>
        <w:gridCol w:w="378"/>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30,272 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allowance for credit loss on non-operating loan</w:t>
            </w:r>
            <w:r>
              <w:rPr>
                <w:rFonts w:ascii="Times New Roman;serif" w:hAnsi="Times New Roman;serif"/>
                <w:b w:val="false"/>
                <w:color w:val="000000"/>
                <w:sz w:val="13"/>
              </w:rPr>
              <w:t>(viii)</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bl>
      <w:tblPr>
        <w:tblW w:w="8459" w:type="dxa"/>
        <w:jc w:val="left"/>
        <w:tblInd w:w="0" w:type="dxa"/>
        <w:tblLayout w:type="fixed"/>
        <w:tblCellMar>
          <w:top w:w="28" w:type="dxa"/>
          <w:left w:w="28" w:type="dxa"/>
          <w:bottom w:w="28" w:type="dxa"/>
          <w:right w:w="28" w:type="dxa"/>
        </w:tblCellMar>
      </w:tblPr>
      <w:tblGrid>
        <w:gridCol w:w="2093"/>
        <w:gridCol w:w="1830"/>
        <w:gridCol w:w="1866"/>
        <w:gridCol w:w="485"/>
        <w:gridCol w:w="1831"/>
        <w:gridCol w:w="354"/>
      </w:tblGrid>
      <w:tr>
        <w:trPr/>
        <w:tc>
          <w:tcPr>
            <w:tcW w:w="209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3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(43,802)</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held-for-sale assets</w:t>
            </w:r>
            <w:r>
              <w:rPr>
                <w:rFonts w:ascii="Times New Roman;serif" w:hAnsi="Times New Roman;serif"/>
                <w:b w:val="false"/>
                <w:color w:val="000000"/>
                <w:sz w:val="13"/>
              </w:rPr>
              <w:t>(ix)</w:t>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64" w:type="dxa"/>
        <w:jc w:val="left"/>
        <w:tblInd w:w="0" w:type="dxa"/>
        <w:tblLayout w:type="fixed"/>
        <w:tblCellMar>
          <w:top w:w="28" w:type="dxa"/>
          <w:left w:w="28" w:type="dxa"/>
          <w:bottom w:w="28" w:type="dxa"/>
          <w:right w:w="28" w:type="dxa"/>
        </w:tblCellMar>
      </w:tblPr>
      <w:tblGrid>
        <w:gridCol w:w="2095"/>
        <w:gridCol w:w="1839"/>
        <w:gridCol w:w="1855"/>
        <w:gridCol w:w="481"/>
        <w:gridCol w:w="1643"/>
        <w:gridCol w:w="351"/>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43,285 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allowance for credit loss on non-operating loan</w:t>
            </w:r>
            <w:r>
              <w:rPr>
                <w:rFonts w:ascii="Times New Roman;serif" w:hAnsi="Times New Roman;serif"/>
                <w:b w:val="false"/>
                <w:color w:val="000000"/>
                <w:sz w:val="13"/>
              </w:rPr>
              <w:t>(viii)</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tbl>
      <w:tblPr>
        <w:tblW w:w="8263" w:type="dxa"/>
        <w:jc w:val="left"/>
        <w:tblInd w:w="0" w:type="dxa"/>
        <w:tblLayout w:type="fixed"/>
        <w:tblCellMar>
          <w:top w:w="28" w:type="dxa"/>
          <w:left w:w="28" w:type="dxa"/>
          <w:bottom w:w="28" w:type="dxa"/>
          <w:right w:w="28" w:type="dxa"/>
        </w:tblCellMar>
      </w:tblPr>
      <w:tblGrid>
        <w:gridCol w:w="2093"/>
        <w:gridCol w:w="1830"/>
        <w:gridCol w:w="1866"/>
        <w:gridCol w:w="449"/>
        <w:gridCol w:w="1697"/>
        <w:gridCol w:w="328"/>
      </w:tblGrid>
      <w:tr>
        <w:trPr/>
        <w:tc>
          <w:tcPr>
            <w:tcW w:w="209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revaluation of financial instruments</w:t>
            </w:r>
            <w:r>
              <w:rPr>
                <w:rFonts w:ascii="Times New Roman;serif" w:hAnsi="Times New Roman;serif"/>
                <w:b w:val="false"/>
                <w:color w:val="000000"/>
                <w:sz w:val="13"/>
              </w:rPr>
              <w:t>(i)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(ii)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(iii)</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(iv)</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328"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(v)</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Restatement litigation costs</w:t>
            </w:r>
            <w:r>
              <w:rPr>
                <w:rFonts w:ascii="Times New Roman;serif" w:hAnsi="Times New Roman;serif"/>
                <w:b w:val="false"/>
                <w:color w:val="000000"/>
                <w:sz w:val="13"/>
              </w:rPr>
              <w:t>(vi)</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Israel Ministry of Economy and Industry dumping inquiry expense</w:t>
            </w:r>
            <w:r>
              <w:rPr>
                <w:rFonts w:ascii="Times New Roman;serif" w:hAnsi="Times New Roman;serif"/>
                <w:b w:val="false"/>
                <w:color w:val="000000"/>
                <w:sz w:val="13"/>
              </w:rPr>
              <w:t>(vii)</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held-for-sale assets</w:t>
            </w:r>
            <w:r>
              <w:rPr>
                <w:rFonts w:ascii="Times New Roman;serif" w:hAnsi="Times New Roman;serif"/>
                <w:b w:val="false"/>
                <w:color w:val="000000"/>
                <w:sz w:val="13"/>
              </w:rPr>
              <w:t>(ix)</w:t>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step-up recorded to cost of sales</w:t>
            </w:r>
            <w:r>
              <w:rPr>
                <w:rFonts w:ascii="Times New Roman;serif" w:hAnsi="Times New Roman;serif"/>
                <w:b w:val="false"/>
                <w:color w:val="000000"/>
                <w:sz w:val="13"/>
              </w:rPr>
              <w:t>(x)</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For the three and six months ended June 30, 2026, the loss on revaluation of financial instruments was driven by a loss related to the Company’s High Tide Warrant and the Company’s equity securities in Vitura. For the three and six months ended June 30, 2025, the loss on revaluation of financial instruments related primarily to the Company’s equity securities in Vitura.</w:t>
      </w:r>
    </w:p>
    <w:p>
      <w:pPr>
        <w:pStyle w:val="TextBody"/>
        <w:bidi w:val="0"/>
        <w:spacing w:lineRule="auto" w:line="288" w:before="60" w:after="60"/>
        <w:ind w:left="0" w:right="0" w:hanging="540"/>
        <w:jc w:val="both"/>
        <w:rPr/>
      </w:pPr>
      <w:r>
        <w:rPr>
          <w:rFonts w:ascii="Times New Roman;serif" w:hAnsi="Times New Roman;serif"/>
          <w:b w:val="false"/>
          <w:color w:val="000000"/>
          <w:sz w:val="10"/>
        </w:rPr>
        <w:t>(ii)</w:t>
      </w:r>
      <w:r>
        <w:rPr>
          <w:rFonts w:ascii="Times New Roman;serif" w:hAnsi="Times New Roman;serif"/>
          <w:b w:val="false"/>
          <w:color w:val="000000"/>
          <w:sz w:val="16"/>
        </w:rPr>
        <w:t>For the three and six months ended June 30, 2026, transaction costs represented fees related to the pending acquisition of CanAdelaar. For the three and six months ended June 30, 2025, transaction costs represented legal, financial and other advisory fees and expenses incurred in connection with the Cronos GrowCo Transaction. These costs are included in general and administrative expenses on the condensed consolidated statements of net income (loss) and comprehensive income (loss).</w:t>
      </w:r>
    </w:p>
    <w:p>
      <w:pPr>
        <w:pStyle w:val="TextBody"/>
        <w:bidi w:val="0"/>
        <w:spacing w:lineRule="auto" w:line="288" w:before="60" w:after="60"/>
        <w:ind w:left="0" w:right="0" w:hanging="540"/>
        <w:jc w:val="both"/>
        <w:rPr/>
      </w:pPr>
      <w:r>
        <w:rPr>
          <w:rFonts w:ascii="Times New Roman;serif" w:hAnsi="Times New Roman;serif"/>
          <w:b w:val="false"/>
          <w:color w:val="000000"/>
          <w:sz w:val="10"/>
        </w:rPr>
        <w:t>(iii)</w:t>
      </w:r>
      <w:r>
        <w:rPr>
          <w:rFonts w:ascii="Times New Roman;serif" w:hAnsi="Times New Roman;serif"/>
          <w:b w:val="false"/>
          <w:color w:val="000000"/>
          <w:sz w:val="16"/>
        </w:rPr>
        <w:t>For the three months ended June 30, 2026, other, net related to a loss on disposal of fixed assets. For the six months ended June 30, 2026, other, net related primarily to rental income. For the three and six months ended June 30, 2025, other, net related to (gain) loss on disposal of assets and (gain) loss on revaluation of derivative liabilities.</w:t>
      </w:r>
    </w:p>
    <w:p>
      <w:pPr>
        <w:pStyle w:val="TextBody"/>
        <w:bidi w:val="0"/>
        <w:spacing w:lineRule="auto" w:line="288" w:before="60" w:after="60"/>
        <w:ind w:left="0" w:right="0" w:hanging="540"/>
        <w:jc w:val="both"/>
        <w:rPr/>
      </w:pPr>
      <w:r>
        <w:rPr>
          <w:rFonts w:ascii="Times New Roman;serif" w:hAnsi="Times New Roman;serif"/>
          <w:b w:val="false"/>
          <w:color w:val="000000"/>
          <w:sz w:val="10"/>
        </w:rPr>
        <w:t>(iv)</w:t>
      </w:r>
      <w:r>
        <w:rPr>
          <w:rFonts w:ascii="Times New Roman;serif" w:hAnsi="Times New Roman;serif"/>
          <w:b w:val="false"/>
          <w:color w:val="000000"/>
          <w:sz w:val="16"/>
        </w:rPr>
        <w:t>For the three and six months ended June 30, 2026, restructuring costs related to IT infrastructure and finance transformation costs associated with the Realignment, as described in Note 7 “</w:t>
      </w:r>
      <w:r>
        <w:rPr>
          <w:rFonts w:ascii="Times New Roman;serif" w:hAnsi="Times New Roman;serif"/>
          <w:b w:val="false"/>
          <w:i/>
          <w:color w:val="000000"/>
          <w:sz w:val="16"/>
        </w:rPr>
        <w:t>Restructuring</w:t>
      </w:r>
      <w:r>
        <w:rPr>
          <w:rFonts w:ascii="Times New Roman;serif" w:hAnsi="Times New Roman;serif"/>
          <w:b w:val="false"/>
          <w:color w:val="000000"/>
          <w:sz w:val="16"/>
        </w:rPr>
        <w:t>.” For the three and six months ended June 30, 2025, restructuring costs related to employee-related severance costs and IT infrastructure and finance transformation costs associated with the Realignment, as described in Note 7 “</w:t>
      </w:r>
      <w:r>
        <w:rPr>
          <w:rFonts w:ascii="Times New Roman;serif" w:hAnsi="Times New Roman;serif"/>
          <w:b w:val="false"/>
          <w:i/>
          <w:color w:val="000000"/>
          <w:sz w:val="16"/>
        </w:rPr>
        <w:t>Restructuring</w:t>
      </w:r>
      <w:r>
        <w:rPr>
          <w:rFonts w:ascii="Times New Roman;serif" w:hAnsi="Times New Roman;serif"/>
          <w:b w:val="false"/>
          <w:color w:val="000000"/>
          <w:sz w:val="16"/>
        </w:rPr>
        <w:t>.”</w:t>
      </w:r>
    </w:p>
    <w:p>
      <w:pPr>
        <w:pStyle w:val="TextBody"/>
        <w:bidi w:val="0"/>
        <w:spacing w:lineRule="auto" w:line="288" w:before="60" w:after="60"/>
        <w:ind w:left="0" w:right="0" w:hanging="540"/>
        <w:jc w:val="both"/>
        <w:rPr/>
      </w:pPr>
      <w:r>
        <w:rPr>
          <w:rFonts w:ascii="Times New Roman;serif" w:hAnsi="Times New Roman;serif"/>
          <w:b w:val="false"/>
          <w:color w:val="000000"/>
          <w:sz w:val="10"/>
        </w:rPr>
        <w:t>(v)</w:t>
      </w:r>
      <w:r>
        <w:rPr>
          <w:rFonts w:ascii="Times New Roman;serif" w:hAnsi="Times New Roman;serif"/>
          <w:b w:val="false"/>
          <w:color w:val="000000"/>
          <w:sz w:val="16"/>
        </w:rPr>
        <w:t>For the three and six months ended June 30, 2026, share-based compensation related to the expenses of share-based compensation awarded to employees and DSUs issued to our Board of Directors, each under the Company’s share-based award plans, as described in Note 8 “</w:t>
      </w:r>
      <w:r>
        <w:rPr>
          <w:rFonts w:ascii="Times New Roman;serif" w:hAnsi="Times New Roman;serif"/>
          <w:b w:val="false"/>
          <w:i/>
          <w:color w:val="000000"/>
          <w:sz w:val="16"/>
        </w:rPr>
        <w:t>Share-based Compensation.</w:t>
      </w:r>
      <w:r>
        <w:rPr>
          <w:color w:val="000000"/>
        </w:rPr>
        <w:t xml:space="preserve">” </w:t>
      </w:r>
      <w:r>
        <w:rPr>
          <w:rFonts w:ascii="Times New Roman;serif" w:hAnsi="Times New Roman;serif"/>
          <w:b w:val="false"/>
          <w:color w:val="000000"/>
          <w:sz w:val="16"/>
        </w:rPr>
        <w:t>For the three and six months ended June 30, 2025, share-based compensation related to the expenses of share-based compensation awarded to employees under the Company’s share-based award plans, as described in Note 8 “</w:t>
      </w:r>
      <w:r>
        <w:rPr>
          <w:rFonts w:ascii="Times New Roman;serif" w:hAnsi="Times New Roman;serif"/>
          <w:b w:val="false"/>
          <w:i/>
          <w:color w:val="000000"/>
          <w:sz w:val="16"/>
        </w:rPr>
        <w:t>Share-based Compensation.</w:t>
      </w:r>
      <w:r>
        <w:rPr>
          <w:color w:val="000000"/>
        </w:rPr>
        <w:t>”</w:t>
      </w:r>
    </w:p>
    <w:p>
      <w:pPr>
        <w:pStyle w:val="TextBody"/>
        <w:bidi w:val="0"/>
        <w:spacing w:lineRule="auto" w:line="288" w:before="60" w:after="60"/>
        <w:ind w:left="0" w:right="0" w:hanging="540"/>
        <w:jc w:val="both"/>
        <w:rPr/>
      </w:pPr>
      <w:r>
        <w:rPr>
          <w:rFonts w:ascii="Times New Roman;serif" w:hAnsi="Times New Roman;serif"/>
          <w:b w:val="false"/>
          <w:color w:val="000000"/>
          <w:sz w:val="10"/>
        </w:rPr>
        <w:t>(vi)</w:t>
      </w:r>
      <w:r>
        <w:rPr>
          <w:rFonts w:ascii="Times New Roman;serif" w:hAnsi="Times New Roman;serif"/>
          <w:b w:val="false"/>
          <w:color w:val="000000"/>
          <w:sz w:val="16"/>
        </w:rPr>
        <w:t>For the three and six months ended June 30, 2026 and 2025, restatement litigation costs included legal costs incurred defending shareholder class action complaints brought against the Company as a result of the 2019 restatement.</w:t>
      </w:r>
    </w:p>
    <w:p>
      <w:pPr>
        <w:pStyle w:val="TextBody"/>
        <w:bidi w:val="0"/>
        <w:spacing w:lineRule="auto" w:line="288" w:before="60" w:after="60"/>
        <w:ind w:left="0" w:right="0" w:hanging="540"/>
        <w:jc w:val="both"/>
        <w:rPr/>
      </w:pPr>
      <w:r>
        <w:rPr>
          <w:rFonts w:ascii="Times New Roman;serif" w:hAnsi="Times New Roman;serif"/>
          <w:b w:val="false"/>
          <w:color w:val="000000"/>
          <w:sz w:val="10"/>
        </w:rPr>
        <w:t>(vii)</w:t>
      </w:r>
      <w:r>
        <w:rPr>
          <w:rFonts w:ascii="Times New Roman;serif" w:hAnsi="Times New Roman;serif"/>
          <w:b w:val="false"/>
          <w:color w:val="000000"/>
          <w:sz w:val="16"/>
        </w:rPr>
        <w:t>For the three and six months ended June 30, 2026 and 2025, Israel Ministry of Economy and Industry dumping inquiry expense included expenditures relating to regulatory investigations and proceedings about alleged dumping of medical cannabis imports from Canada into Israel and related litigation and external relations expenses.</w:t>
      </w:r>
    </w:p>
    <w:p>
      <w:pPr>
        <w:pStyle w:val="TextBody"/>
        <w:bidi w:val="0"/>
        <w:spacing w:lineRule="auto" w:line="288" w:before="60" w:after="60"/>
        <w:ind w:left="0" w:right="0" w:hanging="540"/>
        <w:jc w:val="both"/>
        <w:rPr/>
      </w:pPr>
      <w:r>
        <w:rPr>
          <w:rFonts w:ascii="Times New Roman;serif" w:hAnsi="Times New Roman;serif"/>
          <w:b w:val="false"/>
          <w:color w:val="000000"/>
          <w:sz w:val="10"/>
        </w:rPr>
        <w:t>(viii)</w:t>
      </w:r>
      <w:r>
        <w:rPr>
          <w:rFonts w:ascii="Times New Roman;serif" w:hAnsi="Times New Roman;serif"/>
          <w:b w:val="false"/>
          <w:color w:val="000000"/>
          <w:sz w:val="16"/>
        </w:rPr>
        <w:t xml:space="preserve">For the three and six months ended June 30, 2026, change in allowance for credit loss on non-operating loan related to the allowance recognized on the High Tide loan receivable, as described in Note 4, </w:t>
      </w:r>
      <w:r>
        <w:rPr>
          <w:color w:val="000000"/>
        </w:rPr>
        <w:t>“</w:t>
      </w:r>
      <w:r>
        <w:rPr>
          <w:rFonts w:ascii="Times New Roman;serif" w:hAnsi="Times New Roman;serif"/>
          <w:b w:val="false"/>
          <w:i/>
          <w:color w:val="000000"/>
          <w:sz w:val="16"/>
        </w:rPr>
        <w:t>Loans Receivable, net.”</w:t>
      </w:r>
    </w:p>
    <w:p>
      <w:pPr>
        <w:pStyle w:val="TextBody"/>
        <w:bidi w:val="0"/>
        <w:spacing w:lineRule="auto" w:line="288" w:before="60" w:after="60"/>
        <w:ind w:left="0" w:right="0" w:hanging="540"/>
        <w:jc w:val="both"/>
        <w:rPr/>
      </w:pPr>
      <w:r>
        <w:rPr>
          <w:rFonts w:ascii="Times New Roman;serif" w:hAnsi="Times New Roman;serif"/>
          <w:b w:val="false"/>
          <w:color w:val="000000"/>
          <w:sz w:val="10"/>
        </w:rPr>
        <w:t>(ix)</w:t>
      </w:r>
      <w:r>
        <w:rPr>
          <w:rFonts w:ascii="Times New Roman;serif" w:hAnsi="Times New Roman;serif"/>
          <w:b w:val="false"/>
          <w:color w:val="000000"/>
          <w:sz w:val="16"/>
        </w:rPr>
        <w:t>For the three and six months ended June 30, 2025, loss on held-for-sale assets related to a revaluation of the Cronos Fermentation Held-For-Sale Assets Group.</w:t>
      </w:r>
    </w:p>
    <w:p>
      <w:pPr>
        <w:pStyle w:val="TextBody"/>
        <w:bidi w:val="0"/>
        <w:spacing w:lineRule="auto" w:line="288" w:before="60" w:after="60"/>
        <w:ind w:left="0" w:right="0" w:hanging="540"/>
        <w:jc w:val="both"/>
        <w:rPr/>
      </w:pPr>
      <w:r>
        <w:rPr>
          <w:rFonts w:ascii="Times New Roman;serif" w:hAnsi="Times New Roman;serif"/>
          <w:b w:val="false"/>
          <w:color w:val="000000"/>
          <w:sz w:val="10"/>
        </w:rPr>
        <w:t>(x)</w:t>
      </w:r>
      <w:r>
        <w:rPr>
          <w:rFonts w:ascii="Times New Roman;serif" w:hAnsi="Times New Roman;serif"/>
          <w:b w:val="false"/>
          <w:color w:val="000000"/>
          <w:sz w:val="16"/>
        </w:rPr>
        <w:t>For the six months ended June 30, 2025, inventory step-up recorded to cost of sales represents the portion of the inventory step-up from the Cronos GrowCo Transaction that was recorded through the condensed consolidated statements of net income (loss) and comprehensive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Adjusted EBITDA was $13.1 million, representing an improvement of $11.4 million from the three months ended June 30, 2025. For the six months ended June 30, 2026, Adjusted EBITDA was $18.2 million, representing an improvement of $14.2 million from the six months ended June 30, 2025. For both comparative periods, the improvement was primarily due to higher gross profit, partially offset by higher operating expenses due to higher sales and marketing, general and administrative, and research and development costs.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Adjusted Gross Profit and Adjusted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presented in accordance with U.S. GAAP, we have presented Adjusted Gross Profit and Adjusted Gross Margin, non-GAAP measures that exclude the impacts of inventory-related purchase accounting adjustments from the calculations of gross profit and gross margin, which resulted from the Cronos GrowCo Transaction. Results are reported as total consolidated results, reflecting our reporting structure of one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believes that Adjusted Gross Profit and Adjusted Gross Margin provide useful insight into underlying business trends to facilitate comparisons of period-over-period results by removing the impacts of inventory-related purchase accounting adjustments resulting from the Cronos GrowCo Transaction, which reflect a one-time event and do not reflect management’s assessment of ongoing business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Gross profit and Gross margin, each as determined in accordance with U.S. GAAP, to Adjusted Gross Profit and Adjusted Gross Margin, respectively, for the periods indicated:</w:t>
      </w:r>
    </w:p>
    <w:tbl>
      <w:tblPr>
        <w:tblW w:w="10279" w:type="dxa"/>
        <w:jc w:val="left"/>
        <w:tblInd w:w="0" w:type="dxa"/>
        <w:tblLayout w:type="fixed"/>
        <w:tblCellMar>
          <w:top w:w="28" w:type="dxa"/>
          <w:left w:w="28" w:type="dxa"/>
          <w:bottom w:w="28" w:type="dxa"/>
          <w:right w:w="28" w:type="dxa"/>
        </w:tblCellMar>
      </w:tblPr>
      <w:tblGrid>
        <w:gridCol w:w="348"/>
        <w:gridCol w:w="306"/>
        <w:gridCol w:w="307"/>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180"/>
        <w:gridCol w:w="181"/>
        <w:gridCol w:w="316"/>
        <w:gridCol w:w="109"/>
        <w:gridCol w:w="109"/>
        <w:gridCol w:w="109"/>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180"/>
        <w:gridCol w:w="181"/>
        <w:gridCol w:w="361"/>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of USD)</w:t>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recorded to cost of sales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margin</w:t>
            </w:r>
            <w:r>
              <w:rPr>
                <w:rFonts w:ascii="Times New Roman;serif" w:hAnsi="Times New Roman;serif"/>
                <w:b w:val="false"/>
                <w:color w:val="000000"/>
                <w:sz w:val="13"/>
              </w:rPr>
              <w:t>(i)</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Gross Margin</w:t>
            </w:r>
            <w:r>
              <w:rPr>
                <w:rFonts w:ascii="Times New Roman;serif" w:hAnsi="Times New Roman;serif"/>
                <w:b w:val="false"/>
                <w:color w:val="000000"/>
                <w:sz w:val="13"/>
              </w:rPr>
              <w:t>(ii)</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both"/>
        <w:rPr/>
      </w:pPr>
      <w:r>
        <w:rPr>
          <w:rFonts w:ascii="Times New Roman;serif" w:hAnsi="Times New Roman;serif"/>
          <w:b w:val="false"/>
          <w:color w:val="000000"/>
          <w:sz w:val="10"/>
        </w:rPr>
        <w:t>(i)</w:t>
      </w:r>
      <w:r>
        <w:rPr>
          <w:rFonts w:ascii="Times New Roman;serif" w:hAnsi="Times New Roman;serif"/>
          <w:b w:val="false"/>
          <w:color w:val="000000"/>
          <w:sz w:val="16"/>
        </w:rPr>
        <w:t>Gross margin is defined as gross profit divided by net revenue.</w:t>
      </w:r>
    </w:p>
    <w:p>
      <w:pPr>
        <w:pStyle w:val="TextBody"/>
        <w:bidi w:val="0"/>
        <w:spacing w:lineRule="auto" w:line="288" w:before="60" w:after="60"/>
        <w:ind w:left="0" w:right="0" w:hanging="540"/>
        <w:jc w:val="both"/>
        <w:rPr/>
      </w:pPr>
      <w:r>
        <w:rPr>
          <w:rFonts w:ascii="Times New Roman;serif" w:hAnsi="Times New Roman;serif"/>
          <w:b w:val="false"/>
          <w:color w:val="000000"/>
          <w:sz w:val="10"/>
        </w:rPr>
        <w:t>(ii)</w:t>
      </w:r>
      <w:r>
        <w:rPr>
          <w:rFonts w:ascii="Times New Roman;serif" w:hAnsi="Times New Roman;serif"/>
          <w:b w:val="false"/>
          <w:color w:val="000000"/>
          <w:sz w:val="16"/>
        </w:rPr>
        <w:t>Adjusted Gross Margin is defined as Adjusted Gross Profit divided by net revenue.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Adjusted Gross Profit was $28.5 million, representing an increase of $13.9 million from the three months ended June 30, 2025. For the six months ended June 30, 2026, Adjusted Gross Profit was $47.6 million, representing an increase of $18.8 million from the six months ended June 30, 2025. For both comparative periods, the increase was primarily due to higher average sales prices, largely driven by a mix shift to Israel and other countries, which carry no excise taxes, and higher sales volumes. Higher sales volumes led to higher net revenue and efficiencies as fixed overhead costs were spread over greater volumes.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 xml:space="preserve">Constant Currency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presented in accordance with U.S. GAAP, we have presented constant currency adjusted financial measures for net revenue, gross profit, gross profit margin, operating expenses, net income (loss) and Adjusted EBITDA for the three and six months ended June 30, 2026, as well as cash and cash equivalents, short-term investment and non-current interest-bearing deposit balances as of June 30, 2026 compared to December 31, 2025,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and six month comparative periods in 2025, rather than the actual average exchange rates in effect during the respective current period; constant currency current and prior comparative balance sheet information is translated at the prior year-end spot rate rather than the current period spot rate. All growth comparisons relate to the corresponding period in 2025. We have provided this non-GAAP financial information to aid investors in better understanding the performance of our operations. The non-GAAP financial measures presented in this Quarterly Report should not be considered as a substitute for, or superior to, the measures of financial performance prepared in accordance with U.S. GAAP. See further discussion on foreign currency risk as noted in Item 3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sets forth certain measures of consolidated results from continuing operations on a constant currency basis for the three and six months ended June 30, 2026 compared to the three and six months ended June 30, 2025 as well as cash and cash equivalents, short-term investments and non-current interest-bearing deposits as of June 30, 2026 and December 31, 2025, both on an as-reported and constant currency basis (in thousands):</w:t>
      </w:r>
    </w:p>
    <w:p>
      <w:pPr>
        <w:pStyle w:val="TextBody"/>
        <w:bidi w:val="0"/>
        <w:spacing w:before="0" w:after="0"/>
        <w:jc w:val="left"/>
        <w:rPr/>
      </w:pPr>
      <w:r>
        <w:rPr/>
      </w:r>
    </w:p>
    <w:tbl>
      <w:tblPr>
        <w:tblW w:w="11033" w:type="dxa"/>
        <w:jc w:val="left"/>
        <w:tblInd w:w="0" w:type="dxa"/>
        <w:tblLayout w:type="fixed"/>
        <w:tblCellMar>
          <w:top w:w="28" w:type="dxa"/>
          <w:left w:w="28" w:type="dxa"/>
          <w:bottom w:w="28" w:type="dxa"/>
          <w:right w:w="28" w:type="dxa"/>
        </w:tblCellMar>
      </w:tblPr>
      <w:tblGrid>
        <w:gridCol w:w="713"/>
        <w:gridCol w:w="258"/>
        <w:gridCol w:w="245"/>
        <w:gridCol w:w="211"/>
        <w:gridCol w:w="826"/>
        <w:gridCol w:w="271"/>
        <w:gridCol w:w="109"/>
        <w:gridCol w:w="109"/>
        <w:gridCol w:w="109"/>
        <w:gridCol w:w="211"/>
        <w:gridCol w:w="826"/>
        <w:gridCol w:w="271"/>
        <w:gridCol w:w="109"/>
        <w:gridCol w:w="109"/>
        <w:gridCol w:w="109"/>
        <w:gridCol w:w="211"/>
        <w:gridCol w:w="841"/>
        <w:gridCol w:w="109"/>
        <w:gridCol w:w="109"/>
        <w:gridCol w:w="109"/>
        <w:gridCol w:w="109"/>
        <w:gridCol w:w="232"/>
        <w:gridCol w:w="234"/>
        <w:gridCol w:w="316"/>
        <w:gridCol w:w="109"/>
        <w:gridCol w:w="109"/>
        <w:gridCol w:w="109"/>
        <w:gridCol w:w="211"/>
        <w:gridCol w:w="826"/>
        <w:gridCol w:w="271"/>
        <w:gridCol w:w="109"/>
        <w:gridCol w:w="109"/>
        <w:gridCol w:w="109"/>
        <w:gridCol w:w="211"/>
        <w:gridCol w:w="841"/>
        <w:gridCol w:w="109"/>
        <w:gridCol w:w="109"/>
        <w:gridCol w:w="109"/>
        <w:gridCol w:w="109"/>
        <w:gridCol w:w="232"/>
        <w:gridCol w:w="234"/>
        <w:gridCol w:w="361"/>
      </w:tblGrid>
      <w:tr>
        <w:trPr/>
        <w:tc>
          <w:tcPr>
            <w:tcW w:w="7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pp</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interest-bearing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short-term investments and non-current interest-bearing deposits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827,019 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831,794 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828,459 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120"/>
        <w:jc w:val="both"/>
        <w:rPr>
          <w:rFonts w:ascii="Times New Roman;serif" w:hAnsi="Times New Roman;serif"/>
          <w:b w:val="false"/>
          <w:i/>
          <w:color w:val="000000"/>
          <w:sz w:val="20"/>
        </w:rPr>
      </w:pPr>
      <w:r>
        <w:rPr>
          <w:rFonts w:ascii="Times New Roman;serif" w:hAnsi="Times New Roman;serif"/>
          <w:b w:val="false"/>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411"/>
        <w:gridCol w:w="361"/>
        <w:gridCol w:w="36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97"/>
        <w:gridCol w:w="200"/>
        <w:gridCol w:w="271"/>
        <w:gridCol w:w="109"/>
        <w:gridCol w:w="109"/>
        <w:gridCol w:w="109"/>
        <w:gridCol w:w="300"/>
        <w:gridCol w:w="1025"/>
        <w:gridCol w:w="154"/>
        <w:gridCol w:w="109"/>
        <w:gridCol w:w="109"/>
        <w:gridCol w:w="109"/>
        <w:gridCol w:w="221"/>
        <w:gridCol w:w="755"/>
        <w:gridCol w:w="113"/>
        <w:gridCol w:w="113"/>
        <w:gridCol w:w="113"/>
        <w:gridCol w:w="113"/>
        <w:gridCol w:w="197"/>
        <w:gridCol w:w="200"/>
        <w:gridCol w:w="340"/>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16,928 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flower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Cannabis extracts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395"/>
        <w:gridCol w:w="347"/>
        <w:gridCol w:w="35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319"/>
        <w:gridCol w:w="1093"/>
        <w:gridCol w:w="165"/>
        <w:gridCol w:w="109"/>
        <w:gridCol w:w="109"/>
        <w:gridCol w:w="109"/>
        <w:gridCol w:w="223"/>
        <w:gridCol w:w="762"/>
        <w:gridCol w:w="114"/>
        <w:gridCol w:w="114"/>
        <w:gridCol w:w="114"/>
        <w:gridCol w:w="114"/>
        <w:gridCol w:w="180"/>
        <w:gridCol w:w="181"/>
        <w:gridCol w:w="341"/>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50,383 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 for Constant Currency</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 Change</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92,296 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net revenue on a constant currency basis was $50.4 million, representing a 51% increase from the three months ended June 30, 2025. For the six months ended June 30, 2026, net revenue on a constant currency basis was $92.3 million, representing a 40% increase from the six months ended June 30, 2025. On a constant currency basis, net revenue increased for the three and six months ended June 30, 2026, primarily due to higher cannabis flower sales in Israel and other countries, which carry no excise taxes, and higher cannabis flower and extract sales in the Canadian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gross profit on a constant currency basis was $26.9 million, representing an 85% increase from the three months ended June 30, 2025. For the six months ended June 30, 2026, gross profit on a constant currency basis was $44.5 million, representing a 58% increase from the six months ended June 30, 2025. On a constant currency basis, gross profit increased for the three and six months ended June 30, 2026, primarily due to higher average sales prices, largely driven by a mix shift to Israel and other countries, which carry no excise taxes, and higher sales volumes. Higher sales volumes led to higher net revenue and efficiencies as fixed overhead costs were spread over greater volumes. For the six months ended June 30, 2025, we recognized $0.5 million of inventory step-up from the Cronos GrowCo Transaction in cost of sales. No such costs were recognized for the three months ended June 30, 2025 or the three and six months ended June 30,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operating expenses on a constant currency basis were $20.6 million, representing a 4% increase from the three months ended June 30, 2025. For the six months ended June 30, 2026, operating expenses on a constant currency basis were $40.6 million, representing an 8% increase from the six months ended June 30, 2025. On a constant currency basis, operating expenses increased for the three and six months ended June 30, 2026, primarily due to higher salaries and benefits, transaction costs and product development costs, partially offset by the recovery of excise tax stamp penalties, as well as lower anti-dumping costs and restatement litigation costs.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income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net income on a constant currency basis was $35.2 million, representing an increase in net income of $73.7 million from the three months ended June 30, 2025. For the six months ended June 30, 2026, net income on a constant currency basis was $50.0 million, representing an increase in net income of $80.8 million from the six months ended June 30, 2025. On a constant currency basis, the improvement in net income for the three and six months ended June 30, 2026, was primarily due to higher gross profit and other income, partially offset by higher operating expenses.</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Adjusted EBITDA on a constant currency basis was $11.9 million, representing a $10.2 million improvement from the three months ended June 30, 2025. For the six months ended June 30, 2026, Adjusted EBITDA on a constant currency basis was $16.0 million, representing a $12.1 million improvement from the six months ended June 30, 2025. The improvement in Adjusted EBITDA for the three and six months ended June 30, 2026 on a constant currency basis was driven by higher gross profit, partially offset by higher operating expenses due to higher sales and marketing, general and administrative, and research and development costs.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 short-term investments and non-current interest-bearing deposits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short-term investments and non-current interest-bearing deposits, on a constant currency basis decreased $3.3 million to $828.5 million as of June 30, 2026, from $831.8 million as of December 31, 2025. The decrease in cash and cash equivalents, short-term investments and non-current interest-bearing deposits on a constant currency basis is primarily due to repurchases of common stock, purchases of property, plant and equipment, and withholding taxes paid on share-based awards, partially offset by positive cash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68" w:before="0" w:after="0"/>
        <w:jc w:val="both"/>
        <w:rPr/>
      </w:pPr>
      <w:r>
        <w:rPr>
          <w:rFonts w:ascii="Times New Roman;serif" w:hAnsi="Times New Roman;serif"/>
          <w:b w:val="false"/>
          <w:color w:val="000000"/>
          <w:sz w:val="20"/>
        </w:rPr>
        <w:t xml:space="preserve">As of June 30, 2026, we had $467.0 million in cash and cash equivalents and $330.0 million in short-term investments, compared with $791.8 million in cash and cash equivalents and $40.0 million in short-term investments as of December 31, 2025. The increase in short-term investments primarily reflected the investment of available cash in guaranteed investment certificates and did not materially change our aggregate cash and cash equivalents and short-term investments position. We believe that the existing cash and cash equivalents and short-term investments will be sufficient to fund the business operations and capital expenditures over the next twelve months. </w:t>
      </w:r>
      <w:r>
        <w:rPr>
          <w:rFonts w:ascii="Times New Roman;serif" w:hAnsi="Times New Roman;serif"/>
          <w:b w:val="false"/>
          <w:color w:val="000000"/>
          <w:sz w:val="20"/>
          <w:shd w:fill="FFFFFF" w:val="clear"/>
        </w:rPr>
        <w:t>The following table summarizes the cash flows from operating, investing and financing activities:</w:t>
      </w:r>
    </w:p>
    <w:tbl>
      <w:tblPr>
        <w:tblW w:w="8214" w:type="dxa"/>
        <w:jc w:val="left"/>
        <w:tblInd w:w="0" w:type="dxa"/>
        <w:tblLayout w:type="fixed"/>
        <w:tblCellMar>
          <w:top w:w="28" w:type="dxa"/>
          <w:left w:w="28" w:type="dxa"/>
          <w:bottom w:w="28" w:type="dxa"/>
          <w:right w:w="28" w:type="dxa"/>
        </w:tblCellMar>
      </w:tblPr>
      <w:tblGrid>
        <w:gridCol w:w="1994"/>
        <w:gridCol w:w="1752"/>
        <w:gridCol w:w="1759"/>
        <w:gridCol w:w="211"/>
        <w:gridCol w:w="901"/>
        <w:gridCol w:w="109"/>
        <w:gridCol w:w="109"/>
        <w:gridCol w:w="109"/>
        <w:gridCol w:w="109"/>
        <w:gridCol w:w="211"/>
        <w:gridCol w:w="796"/>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 on 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(324,775)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Comparison of cash flows between the six months ended June 30, 2026 and the six months ended June 30,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generated $34.9 million of cash from operating activities as compared to $0.7 million in the six months ended June 30, 2025, representing an increase in cash generated of $34.2 million. This change is primarily driven by a $10.2 million increase in net income after adjusting for non-cash items, a lower decrease in accrued liabilities, lower increases in accounts receivable and current income tax receivable, increases in accounts payable and income taxes payable, and higher decreases in prepaids and other current assets compared to the six months ended June 30, 2025. These were partially offset by a lower decrease to interest receivable compared to the six months ended June 30, 2025.</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used $320.3 million of cash from investing activities, compared to $56.3 million of cash used in investing activities during the six months ended June 30, 2025, representing a change of $263.9 million. This change was primarily driven by higher net purchases of short-term investments and the purchase of a non-current interest-bearing deposit, partially offset by lower purchases of property, plant and equipment.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in financing activities was $39.1 million, compared to $10.6 million of cash used in financing activities during the six months ended June 30, 2025, representing an increase in cash used of $28.5 million. This change is primarily driven by higher share repurchases, partially offset by a decrease in withholding taxes paid on share-based awards compared to the six months ended June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7, 2025, the Company’s Board of Directors (the “Board”) authorized a share repurchase program of up to $50.0 million, but not to exceed 19,270,951 common shares, being 5% of the outstanding common shares as of May 7, 2025. The repurchase program commenced on May 14, 2025 and expired on May 13, 2026.</w:t>
      </w:r>
    </w:p>
    <w:p>
      <w:pPr>
        <w:pStyle w:val="TextBody"/>
        <w:bidi w:val="0"/>
        <w:spacing w:lineRule="auto" w:line="268" w:before="0" w:after="0"/>
        <w:jc w:val="both"/>
        <w:rPr/>
      </w:pPr>
      <w:r>
        <w:rPr>
          <w:rFonts w:ascii="Times New Roman;serif" w:hAnsi="Times New Roman;serif"/>
          <w:b w:val="false"/>
          <w:color w:val="000000"/>
          <w:sz w:val="20"/>
        </w:rPr>
        <w:t>On May 8, 2026, the Board authorized a share repurchase program of up to $50.0 million, but not to exceed 18,712,918 common shares, the maximum amount permitted by applicable Canadian securities laws. The repurchase program commenced on May 14, 2026 and is expected to expire on May 13, 2027 unless earlier terminated. For further information, see Note 9 “</w:t>
      </w:r>
      <w:r>
        <w:rPr>
          <w:rFonts w:ascii="Times New Roman;serif" w:hAnsi="Times New Roman;serif"/>
          <w:b w:val="false"/>
          <w:i/>
          <w:color w:val="000000"/>
          <w:sz w:val="20"/>
        </w:rPr>
        <w:t>Share Repurchase Program</w:t>
      </w:r>
      <w:r>
        <w:rPr>
          <w:color w:val="000000"/>
        </w:rPr>
        <w:t xml:space="preserve">” </w:t>
      </w:r>
      <w:r>
        <w:rPr>
          <w:rFonts w:ascii="Times New Roman;serif" w:hAnsi="Times New Roman;serif"/>
          <w:b w:val="false"/>
          <w:color w:val="000000"/>
          <w:sz w:val="20"/>
        </w:rPr>
        <w:t>to the condensed consolidated interim financial statements under Item 1 of this Quarterly Report.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we repurchased 5,888,170 common shares at a cost of approximately $16.1 million, inclusive of commissions and excise taxes. In the six months ended June 30, 2026, we repurchased 12,253,870 common shares at a cost of approximately $32.9 million, inclusive of commissions and excise taxes. As of June 30, 2026, under the current repurchase plan, the Company has repurchased a total of 2,780,368 common shares at a cost of approximately $7.9 million, inclusive of commissions and excise taxes. Commissions and excise taxes do not reduce the Company’s remaining repurchase authorization. Accordingly, the Company has remaining authorization to repurchase up to $42.1 million of additional common shares, not to exceed the 15,932,550 common shares authorized by the Board.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cash requirements have not changed significantly since the filing of the Annual Report.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Cronos GrowCo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23, 2019, the Company, as lender, and Cronos GrowCo, as borrower, entered into a senior secured credit agreement for an aggregate principal amount of C$100.0 million (as amended, the “GrowCo Credit Facility”). The GrowCo Credit Facility is secured by substantially all present and after-acquired personal and real property of Cronos GrowCo. In August 2021, the GrowCo Credit Facility was amended to increase the aggregate principal amount available to C$105.0 million, and in June 2024, the GrowCo Credit Facility was amended to increase the aggregate principal amount available by C$70.0 million to C$175.0 million by providing a second secured non-revolving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Cronos GrowCo Transaction on July 1, 2024, the existing loans receivable under the GrowCo Credit Facility were remeasured at their fair value and effectively settled for accounting purposes. Beginning in the third quarter of 2024, the GrowCo Credit Facility has been treated as an intercompany loan and eliminated upon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Cronos GrowCo repaid an aggregate C$7.9 million ($5.6 million) and C$11.3 million ($8.1 million) in principal and C$1.8 million ($1.3 million) and C$3.7 million ($2.6 million) in interest, respectively, under the terms of the GrowCo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Cronos GrowCo had repaid an aggregate C$47.2 million ($34.2 million) and C$40.0 million ($29.1 million) in principal and interest, respectively, under the terms of the GrowCo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of the GrowCo Credit Facility was C$119.8 million ($84.4 million) and C$8.0 million ($5.6 million) remained undrawn.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discussed in Item 7, “Management’s Discussion and Analysis of Financial Condition and Results of Operations” in our Annual Report. Our critical accounting policies and estimates have not changed significantly since the filing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market risks, including changes from foreign currency exchange rates related to our international operations. Except as updated below, the Company’s market risks have not changed significantly from the market risk disclosed in Item 7A, “Quantitative and Qualitative Disclosures About Market Risk” in our Annual Report.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included in Part I, Item 1. “Financial Statements” of this Quarterly Report are expressed in U.S. dollars. The Company is exposed to foreign currency risk based on its net assets, liabilities, and revenue denominated in foreign currencies, including Canadian dollars and Israeli new shekels. As a result, we are exposed to foreign currency translation gains and losses. Revenue and expenses of all foreign operations are translated into U.S. dollars at the foreign currency exchange rates that approximate the rates in effect during the period when such items are recognized. Changes in foreign currency exchange rates may positively or adversely affect our operating results, net income and accumulated other comprehensive income, depending on the currencies, amounts and nature of our net monetary and net investment exposures.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10% change in the exchange rates for the Canadian dollar would have affected the carrying amount of the net assets by approximately $37.3 million and $40.5 million as of June 30, 2026 and December 31, 2025, respectively. The corresponding impact would be recorded in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and losses could have a significant, and potentially adverse, effect on the Company’s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had foreign currency loss on translation of $23.1 million and $41.0 million, respectively. During the three and six months ended June 30, 2025, the Company had foreign currency gain on translation of $60.2 million and $57.1 million,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rate risk is the risk that the value or yield of fixed-income investments may decline if interest rates change. Fluctuations in interest rates may impact the level of income and expense recorded on the cash equivalents and short-term investments, and the market value of all interest-earning assets, other than those which possess a short term to maturity. During the three and six months ended June 30, 2026, we had interest income, net of $8.8 million and $17.7 million, respectively. During the three and six months ended June 30, 2025, we had interest income, net of $9.0 million and $18.7 million, respectively. A 10% decrease in the interest rate in effect on June 30, 2026 would not have a material effect on the fair value of our cash equivalents, short-term investments and non-current interest-bearing deposits as the majority of the portfolio had a maturity date of three months or less. A 10% decrease in the interest rate in effect for the three and six months ended June 30, 2026 would have an effect of $1.0 million and $2.0 million, respectively, on interest income, net earned on our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(a)Evaluation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Chief Executive Officer and the Chief Financial Officer, performed an evaluation of the disclosure controls and procedures, as defined in Rules 13a-15(e) and 15d-15(e) of the Securities Exchange Act of 1934 (the “Exchange Act”), as of June 30, 2026. Based on that evaluation, management has concluded that, as of June 30, 2026, the disclosure controls and procedures were effective to provide reasonable assurance that the information required to be disclosed by us in reports we file or submit under the Exchange Act were recorded, processed, summarized and reported within the time periods specified in the rules and forms of the SEC, and to ensure that the information required to be disclosed by us in reports that we file or submit under the Exchange Act, is accumulated and communicated to management, including the principal executive officer and principal financial officer, as appropriate, to allow timely decisions regarding required disclosure.</w:t>
      </w:r>
    </w:p>
    <w:p>
      <w:pPr>
        <w:pStyle w:val="TextBody"/>
        <w:bidi w:val="0"/>
        <w:spacing w:lineRule="auto" w:line="288" w:before="120" w:after="120"/>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(b)Changes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Rules 13a-15(f) and 15d-15(f) under the Exchange Act), that occurred during the three months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w:t>
        <w:br/>
        <w:t>OTHER INFORMATION</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10(b), Contingencies, to the Company’s condensed consolidated interim financial statements included in Part I, Item 1 “Financial Statements” of this Quarterly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 investment in us involves a number of risks. A detailed discussion of our risk factors appears in Part I, Item 1A. Risk Factors of the Annual Report. Except as set forth below, there have been no material changes to the risk factors disclosed in the Annual Report. Any of the matters highlighted in the risk factors described in the Annual Report or below could adversely affect our business, results of operations and financial condition, causing an investor to lose all, or part of, the investor’s investment. These risks and uncertainties are those we currently believe to be material, but they are not the only ones we face. If any of these risks and uncertainties, or any other risks and uncertainties that we have not yet identified or that we currently consider not to be material, actually occur or become material risks, our business, prospects, financial condition, results of operations and cash flows and consequently the price of our securities could be materially and adversely affected.</w:t>
      </w:r>
    </w:p>
    <w:p>
      <w:pPr>
        <w:pStyle w:val="TextBody"/>
        <w:bidi w:val="0"/>
        <w:spacing w:lineRule="auto" w:line="288" w:before="120" w:after="120"/>
        <w:jc w:val="both"/>
        <w:rPr/>
      </w:pPr>
      <w:r>
        <w:rPr>
          <w:rFonts w:ascii="Times New Roman;serif" w:hAnsi="Times New Roman;serif"/>
          <w:b/>
          <w:i/>
          <w:color w:val="000000"/>
          <w:sz w:val="20"/>
        </w:rPr>
        <w:t>The imposition of an anti-dumping duty or other import restriction on</w:t>
      </w:r>
      <w:r>
        <w:rPr>
          <w:color w:val="000000"/>
        </w:rPr>
        <w:t xml:space="preserve"> </w:t>
      </w:r>
      <w:r>
        <w:rPr>
          <w:rFonts w:ascii="Times New Roman;serif" w:hAnsi="Times New Roman;serif"/>
          <w:b/>
          <w:i/>
          <w:color w:val="000000"/>
          <w:sz w:val="20"/>
        </w:rPr>
        <w:t>our imports into Israel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18, 2024, the Company was notified that the Trade Levies Commissioner of the Israel Ministry of Economy and Industry initiated a public investigation of alleged dumping of medical cannabis imports from Canada into Israel, which ultimately did not result in an anti-dumping duty being imposed following related governmental and judicial proceedings.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2026, the Trade Levies Commissioner initiated a new investigation concerning alleged dumping of medical cannabis imports from Canada into Israel. On July 28, 2026, the Commissioner terminated that investigation on procedural grounds. The termination was not based on a substantive determination of the merits and did not preclude another complaint or the initiation of a new investigation. On July 30, 2026, a new complaint concerning imports of medical cannabis from Canada was filed on behalf of the Israeli domestic industry. On August 2, 2026, the Commissioner notified the Government of Canada that the new complaint contained sufficient prima facie evidence of dumping, material injury to the domestic industry and a causal link between the alleged dumping and injury. On August 5, 2026, the Commissioner notified the Company of the initiation of a new investigation. The Company cannot predict the timing or outcome of the new investigation or any related proceeding, or whether any provisional or final anti-dumping duty or other import restriction will ultimately be imposed.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 anti-dumping duty or any other import restriction is imposed on the Company’s imports, our ability to continue to import cannabis into Israel, the performance of our business in Israel, and our results of operations, financial condition, business and prospects could be materially and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Purchases of Equity Securities by the Issuer and Affiliated Purchasers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Share repurchase activity during the three months ended June 30, 2026 was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10"/>
        <w:gridCol w:w="272"/>
        <w:gridCol w:w="275"/>
        <w:gridCol w:w="715"/>
        <w:gridCol w:w="352"/>
        <w:gridCol w:w="353"/>
        <w:gridCol w:w="109"/>
        <w:gridCol w:w="109"/>
        <w:gridCol w:w="109"/>
        <w:gridCol w:w="266"/>
        <w:gridCol w:w="644"/>
        <w:gridCol w:w="137"/>
        <w:gridCol w:w="109"/>
        <w:gridCol w:w="109"/>
        <w:gridCol w:w="109"/>
        <w:gridCol w:w="845"/>
        <w:gridCol w:w="516"/>
        <w:gridCol w:w="518"/>
        <w:gridCol w:w="109"/>
        <w:gridCol w:w="109"/>
        <w:gridCol w:w="109"/>
        <w:gridCol w:w="346"/>
        <w:gridCol w:w="1183"/>
        <w:gridCol w:w="179"/>
        <w:gridCol w:w="109"/>
        <w:gridCol w:w="109"/>
        <w:gridCol w:w="109"/>
        <w:gridCol w:w="845"/>
        <w:gridCol w:w="468"/>
        <w:gridCol w:w="67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Period</w:t>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repurchase plan</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on repurchase plan</w:t>
            </w:r>
            <w:r>
              <w:rPr>
                <w:rFonts w:ascii="Times New Roman;serif" w:hAnsi="Times New Roman;serif"/>
                <w:b/>
                <w:color w:val="000000"/>
                <w:sz w:val="1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 shares that may yet be purchased on repurchase plan</w:t>
            </w:r>
          </w:p>
        </w:tc>
      </w:tr>
      <w:tr>
        <w:trPr/>
        <w:tc>
          <w:tcPr>
            <w:tcW w:w="8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2,199,755 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2,199,755 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6,286,015 </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1,381,512 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1,381,512 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18,239,453 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2,306,903 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2,306,903 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15,932,550 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5,888,170 </w:t>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5,888,170 </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(i)On May 7, 2025, the Company was authorized by the Board to purchase up to $50.0 million of the Company’s common shares under a share repurchase program announced on May 8, 2025, which commenced on May 14, 2025 and expired on May 13, 2026. On May 8, 2026, the Company was authorized by the Board to purchase up to $50.0 million of the Company’s common shares under a new share repurchase program that commenced on May 14, 2026. During the three months ended June 30, 2026, the Company repurchased 5,888,170 common shares for an aggregate price of $16.1 million, including $0.3 million of excise taxes. The remaining dollar value and maximum number of shares shown for May and June 2026 relate solely to the current share repurchase program. The current repurchase program is expected to expire on May 13, 2027, unless earlier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directors or executive officers entered into, modified or terminated, contracts, instructions or written plans for the sale or purchase of the Company’s securities that were intended to satisfy the affirmative defense conditions of Rule 10b5-1 or that constituted non-Rule 10b5-1 trading arrangements (as defined in Item 408(c) of Regulation 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our officers or directors have made,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listed in the Exhibit Index immediately below are filed as part of this Quarterly Report, which Exhibit Index is incorporated by reference herein. </w:t>
      </w:r>
    </w:p>
    <w:tbl>
      <w:tblPr>
        <w:tblW w:w="10205"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684"/>
        <w:gridCol w:w="2561"/>
        <w:gridCol w:w="361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r>
        <w:trPr/>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Agreement to Amend the Share Purchase Agreement, dated as of May 8, 2026, by and among Cronos Group Inc., CGM B.V., “Ring” International Holding AG and Landewyck Tobacco S.A. (incorporated by reference to Exhibit 2.1 to the Current Report on Form 8-K of Cronos Group Inc., filed May 11, 2026).</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Certificate of Continuance and Articles of Cronos Group Inc. (incorporated by reference to Exhibit 3.1 to the Quarterly Report on Form 10-Q of Cronos Group Inc., filed on August 8, 2024).</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10-q2026311.htm">
              <w:r>
                <w:rPr>
                  <w:rStyle w:val="InternetLink"/>
                  <w:rFonts w:ascii="Times New Roman;serif" w:hAnsi="Times New Roman;serif"/>
                  <w:b w:val="false"/>
                  <w:color w:val="0000FF"/>
                  <w:sz w:val="20"/>
                  <w:u w:val="single"/>
                </w:rPr>
                <w:t>Certification of the Principal Executive Officer pursuant to Rules 13a-14(a) and 15d-14(a) of the Securities Exchange Act of 1934, as amended, as adopted pursuant to Section 302 of the Sarbanes-Oxley Act of 2002.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q210-q2026312.htm">
              <w:r>
                <w:rPr>
                  <w:rStyle w:val="InternetLink"/>
                  <w:rFonts w:ascii="Times New Roman;serif" w:hAnsi="Times New Roman;serif"/>
                  <w:b w:val="false"/>
                  <w:color w:val="0000FF"/>
                  <w:sz w:val="20"/>
                  <w:u w:val="single"/>
                </w:rPr>
                <w:t>Certification of the Principal Financial Officer pursuant to Rules 13a-14(a) and 15d-14(a) of the Securities Exchange Act of 1934, as amended, as adopted pursuant to Section 302 of the Sarbanes-Oxley Act of 2002.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10-q2026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10-q2026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Management contract or compensatory plan or arrangement.</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Furnished herewith and not “filed”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pPr>
      <w:hyperlink w:anchor="i49ea29643dab47a5a5e934e5a9125e98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60"/>
        <w:ind w:left="0" w:right="0" w:hanging="720"/>
        <w:jc w:val="both"/>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60" w:type="dxa"/>
        <w:jc w:val="left"/>
        <w:tblInd w:w="0" w:type="dxa"/>
        <w:tblLayout w:type="fixed"/>
        <w:tblCellMar>
          <w:top w:w="28" w:type="dxa"/>
          <w:left w:w="28" w:type="dxa"/>
          <w:bottom w:w="28" w:type="dxa"/>
          <w:right w:w="28" w:type="dxa"/>
        </w:tblCellMar>
      </w:tblPr>
      <w:tblGrid>
        <w:gridCol w:w="493"/>
        <w:gridCol w:w="435"/>
        <w:gridCol w:w="437"/>
        <w:gridCol w:w="317"/>
        <w:gridCol w:w="317"/>
        <w:gridCol w:w="317"/>
        <w:gridCol w:w="1327"/>
        <w:gridCol w:w="1327"/>
        <w:gridCol w:w="189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CRONOS GROUP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 Shlimak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Anna Shlimak</w:t>
            </w:r>
          </w:p>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48"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457"/>
        <w:gridCol w:w="1457"/>
        <w:gridCol w:w="206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979" w:type="dxa"/>
            <w:gridSpan w:val="3"/>
            <w:tcBorders/>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Jared Kenost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Jared Kenost</w:t>
            </w:r>
          </w:p>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484"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484" w:before="0" w:after="240"/>
        <w:jc w:val="both"/>
        <w:rPr>
          <w:rFonts w:ascii="Times New Roman;serif" w:hAnsi="Times New Roman;serif"/>
          <w:b w:val="false"/>
          <w:color w:val="000000"/>
          <w:sz w:val="20"/>
        </w:rPr>
      </w:pPr>
      <w:r>
        <w:rPr>
          <w:rFonts w:ascii="Times New Roman;serif" w:hAnsi="Times New Roman;serif"/>
          <w:b w:val="false"/>
          <w:color w:val="000000"/>
          <w:sz w:val="20"/>
        </w:rPr>
        <w:t>I, Michael Gorenstein, certify that: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Cronos Group Inc.;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3551" w:type="dxa"/>
        <w:jc w:val="left"/>
        <w:tblInd w:w="0" w:type="dxa"/>
        <w:tblLayout w:type="fixed"/>
        <w:tblCellMar>
          <w:top w:w="28" w:type="dxa"/>
          <w:left w:w="28" w:type="dxa"/>
          <w:bottom w:w="28" w:type="dxa"/>
          <w:right w:w="28" w:type="dxa"/>
        </w:tblCellMar>
      </w:tblPr>
      <w:tblGrid>
        <w:gridCol w:w="1150"/>
        <w:gridCol w:w="1011"/>
        <w:gridCol w:w="1018"/>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Gorenstein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84" w:before="120" w:after="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484"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0"/>
        <w:jc w:val="left"/>
        <w:rPr/>
      </w:pPr>
      <w:r>
        <w:rPr/>
      </w:r>
    </w:p>
    <w:p>
      <w:pPr>
        <w:pStyle w:val="TextBody"/>
        <w:bidi w:val="0"/>
        <w:spacing w:lineRule="auto" w:line="319" w:before="0" w:after="240"/>
        <w:jc w:val="left"/>
        <w:rPr>
          <w:rFonts w:ascii="Times New Roman;serif" w:hAnsi="Times New Roman;serif"/>
          <w:b w:val="false"/>
          <w:color w:val="000000"/>
          <w:sz w:val="20"/>
        </w:rPr>
      </w:pPr>
      <w:r>
        <w:rPr>
          <w:rFonts w:ascii="Times New Roman;serif" w:hAnsi="Times New Roman;serif"/>
          <w:b w:val="false"/>
          <w:color w:val="000000"/>
          <w:sz w:val="20"/>
        </w:rPr>
        <w:t>I, Anna Shlimak, certify that: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Cronos Group Inc.;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862" w:type="dxa"/>
        <w:jc w:val="left"/>
        <w:tblInd w:w="0" w:type="dxa"/>
        <w:tblLayout w:type="fixed"/>
        <w:tblCellMar>
          <w:top w:w="28" w:type="dxa"/>
          <w:left w:w="28" w:type="dxa"/>
          <w:bottom w:w="28" w:type="dxa"/>
          <w:right w:w="28" w:type="dxa"/>
        </w:tblCellMar>
      </w:tblPr>
      <w:tblGrid>
        <w:gridCol w:w="902"/>
        <w:gridCol w:w="791"/>
        <w:gridCol w:w="797"/>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 Shlimak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55" w:after="30"/>
              <w:jc w:val="left"/>
              <w:rPr>
                <w:rFonts w:ascii="Times New Roman;serif" w:hAnsi="Times New Roman;serif"/>
                <w:b w:val="false"/>
                <w:color w:val="000000"/>
                <w:sz w:val="20"/>
              </w:rPr>
            </w:pPr>
            <w:r>
              <w:rPr>
                <w:rFonts w:ascii="Times New Roman;serif" w:hAnsi="Times New Roman;serif"/>
                <w:b w:val="false"/>
                <w:color w:val="000000"/>
                <w:sz w:val="20"/>
              </w:rPr>
              <w:t>Anna Shlimak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84" w:before="120" w:after="6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333" w:before="0" w:after="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0" w:after="60"/>
        <w:jc w:val="left"/>
        <w:rPr>
          <w:color w:val="000000"/>
        </w:rPr>
      </w:pPr>
      <w:r>
        <w:rPr>
          <w:color w:val="000000"/>
        </w:rPr>
        <w:t> </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60"/>
        <w:jc w:val="both"/>
        <w:rPr>
          <w:color w:val="000000"/>
        </w:rPr>
      </w:pPr>
      <w:r>
        <w:rPr>
          <w:color w:val="000000"/>
        </w:rPr>
        <w:t> </w:t>
      </w:r>
    </w:p>
    <w:p>
      <w:pPr>
        <w:pStyle w:val="TextBody"/>
        <w:bidi w:val="0"/>
        <w:spacing w:lineRule="auto" w:line="319"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of Cronos Group Inc. (the “Company”) as filed with the U.S. Securities and Exchange Commission (the “SEC”) on the date hereof (the “Report”), I, Michael Gorenstein, President and Chief Executive Officer of the Company, certify, pursuant to 18 U.S.C. Section 1350, as adopted pursuant to Section 906 of the Sarbanes-Oxley Act of 2002, that, to my knowledge:</w:t>
      </w:r>
    </w:p>
    <w:p>
      <w:pPr>
        <w:pStyle w:val="TextBody"/>
        <w:bidi w:val="0"/>
        <w:spacing w:lineRule="auto" w:line="333" w:before="0" w:after="60"/>
        <w:jc w:val="left"/>
        <w:rPr>
          <w:color w:val="000000"/>
        </w:rPr>
      </w:pPr>
      <w:r>
        <w:rPr>
          <w:color w:val="000000"/>
        </w:rPr>
        <w:t> </w:t>
      </w:r>
    </w:p>
    <w:p>
      <w:pPr>
        <w:pStyle w:val="TextBody"/>
        <w:bidi w:val="0"/>
        <w:spacing w:lineRule="auto" w:line="333"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as amended; and</w:t>
      </w:r>
    </w:p>
    <w:p>
      <w:pPr>
        <w:pStyle w:val="TextBody"/>
        <w:bidi w:val="0"/>
        <w:spacing w:before="0" w:after="60"/>
        <w:ind w:left="0" w:right="0" w:firstLine="45"/>
        <w:jc w:val="left"/>
        <w:rPr/>
      </w:pPr>
      <w:r>
        <w:rPr/>
      </w:r>
    </w:p>
    <w:p>
      <w:pPr>
        <w:pStyle w:val="TextBody"/>
        <w:bidi w:val="0"/>
        <w:spacing w:lineRule="auto" w:line="333"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333" w:before="0" w:after="60"/>
        <w:jc w:val="both"/>
        <w:rPr>
          <w:color w:val="000000"/>
        </w:rPr>
      </w:pPr>
      <w:r>
        <w:rPr>
          <w:color w:val="000000"/>
        </w:rPr>
        <w:t> </w:t>
      </w:r>
    </w:p>
    <w:p>
      <w:pPr>
        <w:pStyle w:val="TextBody"/>
        <w:bidi w:val="0"/>
        <w:spacing w:lineRule="auto" w:line="333" w:before="0" w:after="0"/>
        <w:jc w:val="left"/>
        <w:rPr>
          <w:color w:val="000000"/>
        </w:rPr>
      </w:pPr>
      <w:r>
        <w:rPr>
          <w:color w:val="000000"/>
        </w:rPr>
        <w:t> </w:t>
      </w:r>
    </w:p>
    <w:tbl>
      <w:tblPr>
        <w:tblW w:w="3551" w:type="dxa"/>
        <w:jc w:val="left"/>
        <w:tblInd w:w="0" w:type="dxa"/>
        <w:tblLayout w:type="fixed"/>
        <w:tblCellMar>
          <w:top w:w="28" w:type="dxa"/>
          <w:left w:w="28" w:type="dxa"/>
          <w:bottom w:w="28" w:type="dxa"/>
          <w:right w:w="28" w:type="dxa"/>
        </w:tblCellMar>
      </w:tblPr>
      <w:tblGrid>
        <w:gridCol w:w="1150"/>
        <w:gridCol w:w="1011"/>
        <w:gridCol w:w="1018"/>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Gorenstein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TextBody"/>
        <w:bidi w:val="0"/>
        <w:spacing w:lineRule="auto" w:line="333" w:before="0" w:after="6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60"/>
        <w:jc w:val="both"/>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 or its staff upon request.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0" w:after="60"/>
        <w:jc w:val="left"/>
        <w:rPr>
          <w:color w:val="000000"/>
        </w:rPr>
      </w:pPr>
      <w:r>
        <w:rPr>
          <w:color w:val="000000"/>
        </w:rPr>
        <w:t> </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60"/>
        <w:jc w:val="both"/>
        <w:rPr>
          <w:color w:val="000000"/>
        </w:rPr>
      </w:pPr>
      <w:r>
        <w:rPr>
          <w:color w:val="000000"/>
        </w:rPr>
        <w:t> </w:t>
      </w:r>
    </w:p>
    <w:p>
      <w:pPr>
        <w:pStyle w:val="TextBody"/>
        <w:bidi w:val="0"/>
        <w:spacing w:lineRule="auto" w:line="319"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of Cronos Group Inc. (the “Company”) as filed with the U.S. Securities and Exchange Commission (the “SEC”) on the date hereof (the “Report”), I, Anna Shlimak, Chief Financial Officer of the Company, certify, pursuant to 18 U.S.C. Section 1350, as adopted pursuant to Section 906 of the Sarbanes-Oxley Act of 2002, that, to my knowledge:</w:t>
      </w:r>
    </w:p>
    <w:p>
      <w:pPr>
        <w:pStyle w:val="TextBody"/>
        <w:bidi w:val="0"/>
        <w:spacing w:lineRule="auto" w:line="333" w:before="0" w:after="60"/>
        <w:jc w:val="left"/>
        <w:rPr>
          <w:color w:val="000000"/>
        </w:rPr>
      </w:pPr>
      <w:r>
        <w:rPr>
          <w:color w:val="000000"/>
        </w:rPr>
        <w:t> </w:t>
      </w:r>
    </w:p>
    <w:p>
      <w:pPr>
        <w:pStyle w:val="TextBody"/>
        <w:bidi w:val="0"/>
        <w:spacing w:lineRule="auto" w:line="333"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as applicable, of the Securities Exchange Act of 1934, as amended; and</w:t>
      </w:r>
    </w:p>
    <w:p>
      <w:pPr>
        <w:pStyle w:val="TextBody"/>
        <w:bidi w:val="0"/>
        <w:spacing w:before="0" w:after="60"/>
        <w:ind w:left="0" w:right="0" w:firstLine="45"/>
        <w:jc w:val="left"/>
        <w:rPr/>
      </w:pPr>
      <w:r>
        <w:rPr/>
      </w:r>
    </w:p>
    <w:p>
      <w:pPr>
        <w:pStyle w:val="TextBody"/>
        <w:bidi w:val="0"/>
        <w:spacing w:lineRule="auto" w:line="333"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333" w:before="0" w:after="60"/>
        <w:jc w:val="both"/>
        <w:rPr>
          <w:color w:val="000000"/>
        </w:rPr>
      </w:pPr>
      <w:r>
        <w:rPr>
          <w:color w:val="000000"/>
        </w:rPr>
        <w:t> </w:t>
      </w:r>
    </w:p>
    <w:p>
      <w:pPr>
        <w:pStyle w:val="TextBody"/>
        <w:bidi w:val="0"/>
        <w:spacing w:lineRule="auto" w:line="333" w:before="0" w:after="0"/>
        <w:jc w:val="left"/>
        <w:rPr>
          <w:color w:val="000000"/>
        </w:rPr>
      </w:pPr>
      <w:r>
        <w:rPr>
          <w:color w:val="000000"/>
        </w:rPr>
        <w:t> </w:t>
      </w:r>
    </w:p>
    <w:tbl>
      <w:tblPr>
        <w:tblW w:w="2862" w:type="dxa"/>
        <w:jc w:val="left"/>
        <w:tblInd w:w="0" w:type="dxa"/>
        <w:tblLayout w:type="fixed"/>
        <w:tblCellMar>
          <w:top w:w="28" w:type="dxa"/>
          <w:left w:w="28" w:type="dxa"/>
          <w:bottom w:w="28" w:type="dxa"/>
          <w:right w:w="28" w:type="dxa"/>
        </w:tblCellMar>
      </w:tblPr>
      <w:tblGrid>
        <w:gridCol w:w="902"/>
        <w:gridCol w:w="791"/>
        <w:gridCol w:w="797"/>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Anna Shlimak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 Shlimak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 or its staff upon request.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6472/000165647226000032/exhibit-canadelaarspaamend.htm" TargetMode="External"/><Relationship Id="rId3" Type="http://schemas.openxmlformats.org/officeDocument/2006/relationships/hyperlink" Target="https://www.sec.gov/Archives/edgar/data/1656472/000165647224000102/exhibit31-articlesofcrono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27933</Words>
  <Characters>153842</Characters>
  <CharactersWithSpaces>179225</CharactersWithSpaces>
  <Paragraphs>3884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