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jc w:val="both"/>
        <w:ind w:left="280" w:right="300"/>
        <w:spacing w:after="0" w:line="243"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-149860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640" w:type="dxa"/>
            <w:vAlign w:val="bottom"/>
          </w:tcPr>
          <w:p>
            <w:pPr>
              <w:jc w:val="center"/>
              <w:ind w:right="89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7"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5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91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4876800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3567430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-2069465</wp:posOffset>
            </wp:positionH>
            <wp:positionV relativeFrom="paragraph">
              <wp:posOffset>13970</wp:posOffset>
            </wp:positionV>
            <wp:extent cx="7023100" cy="3724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724275"/>
                    </a:xfrm>
                    <a:prstGeom prst="rect">
                      <a:avLst/>
                    </a:prstGeom>
                    <a:noFill/>
                  </pic:spPr>
                </pic:pic>
              </a:graphicData>
            </a:graphic>
          </wp:anchor>
        </w:drawing>
      </w:r>
    </w:p>
    <w:p>
      <w:pPr>
        <w:spacing w:after="0" w:line="80" w:lineRule="exact"/>
        <w:rPr>
          <w:sz w:val="24"/>
          <w:szCs w:val="24"/>
          <w:color w:val="auto"/>
        </w:rPr>
      </w:pPr>
    </w:p>
    <w:p>
      <w:pPr>
        <w:sectPr>
          <w:pgSz w:w="11900" w:h="16838" w:orient="portrait"/>
          <w:cols w:equalWidth="0" w:num="2">
            <w:col w:w="2520" w:space="720"/>
            <w:col w:w="778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ADLER JASON MARC</w:t>
        </w:r>
      </w:hyperlink>
    </w:p>
    <w:p>
      <w:pPr>
        <w:spacing w:after="0" w:line="232" w:lineRule="exact"/>
        <w:rPr>
          <w:sz w:val="24"/>
          <w:szCs w:val="24"/>
          <w:color w:val="auto"/>
        </w:rPr>
      </w:pPr>
    </w:p>
    <w:tbl>
      <w:tblPr>
        <w:tblLayout w:type="fixed"/>
        <w:tblInd w:w="60" w:type="dxa"/>
        <w:tblCellMar>
          <w:top w:w="0" w:type="dxa"/>
          <w:left w:w="0" w:type="dxa"/>
          <w:bottom w:w="0" w:type="dxa"/>
          <w:right w:w="0" w:type="dxa"/>
        </w:tblCellMar>
      </w:tblPr>
      <w:tr>
        <w:trPr>
          <w:trHeight w:val="127"/>
        </w:trPr>
        <w:tc>
          <w:tcPr>
            <w:tcW w:w="40" w:type="dxa"/>
            <w:vAlign w:val="bottom"/>
          </w:tcPr>
          <w:p>
            <w:pPr>
              <w:spacing w:after="0"/>
              <w:rPr>
                <w:sz w:val="11"/>
                <w:szCs w:val="11"/>
                <w:color w:val="auto"/>
              </w:rPr>
            </w:pPr>
          </w:p>
        </w:tc>
        <w:tc>
          <w:tcPr>
            <w:tcW w:w="920" w:type="dxa"/>
            <w:vAlign w:val="bottom"/>
          </w:tcPr>
          <w:p>
            <w:pPr>
              <w:spacing w:after="0"/>
              <w:rPr>
                <w:sz w:val="20"/>
                <w:szCs w:val="20"/>
                <w:color w:val="auto"/>
              </w:rPr>
            </w:pPr>
            <w:r>
              <w:rPr>
                <w:rFonts w:ascii="Arial" w:cs="Arial" w:eastAsia="Arial" w:hAnsi="Arial"/>
                <w:sz w:val="10"/>
                <w:szCs w:val="10"/>
                <w:color w:val="auto"/>
              </w:rPr>
              <w:t>(Last)</w:t>
            </w:r>
          </w:p>
        </w:tc>
        <w:tc>
          <w:tcPr>
            <w:tcW w:w="1200" w:type="dxa"/>
            <w:vAlign w:val="bottom"/>
          </w:tcPr>
          <w:p>
            <w:pPr>
              <w:ind w:left="320"/>
              <w:spacing w:after="0"/>
              <w:rPr>
                <w:sz w:val="20"/>
                <w:szCs w:val="20"/>
                <w:color w:val="auto"/>
              </w:rPr>
            </w:pPr>
            <w:r>
              <w:rPr>
                <w:rFonts w:ascii="Arial" w:cs="Arial" w:eastAsia="Arial" w:hAnsi="Arial"/>
                <w:sz w:val="10"/>
                <w:szCs w:val="10"/>
                <w:color w:val="auto"/>
              </w:rPr>
              <w:t>(First)</w:t>
            </w:r>
          </w:p>
        </w:tc>
        <w:tc>
          <w:tcPr>
            <w:tcW w:w="1560" w:type="dxa"/>
            <w:vAlign w:val="bottom"/>
          </w:tcPr>
          <w:p>
            <w:pPr>
              <w:ind w:left="360"/>
              <w:spacing w:after="0"/>
              <w:rPr>
                <w:sz w:val="20"/>
                <w:szCs w:val="20"/>
                <w:color w:val="auto"/>
              </w:rPr>
            </w:pPr>
            <w:r>
              <w:rPr>
                <w:rFonts w:ascii="Arial" w:cs="Arial" w:eastAsia="Arial" w:hAnsi="Arial"/>
                <w:sz w:val="10"/>
                <w:szCs w:val="10"/>
                <w:color w:val="auto"/>
              </w:rPr>
              <w:t>(Middle)</w:t>
            </w:r>
          </w:p>
        </w:tc>
      </w:tr>
      <w:tr>
        <w:trPr>
          <w:trHeight w:val="208"/>
        </w:trPr>
        <w:tc>
          <w:tcPr>
            <w:tcW w:w="4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3"/>
                <w:szCs w:val="13"/>
                <w:color w:val="0000FF"/>
              </w:rPr>
              <w:t>111 PETER STREET, SUITE 300</w:t>
            </w:r>
          </w:p>
        </w:tc>
        <w:tc>
          <w:tcPr>
            <w:tcW w:w="1560" w:type="dxa"/>
            <w:vAlign w:val="bottom"/>
          </w:tcPr>
          <w:p>
            <w:pPr>
              <w:spacing w:after="0"/>
              <w:rPr>
                <w:sz w:val="18"/>
                <w:szCs w:val="18"/>
                <w:color w:val="auto"/>
              </w:rPr>
            </w:pPr>
          </w:p>
        </w:tc>
      </w:tr>
      <w:tr>
        <w:trPr>
          <w:trHeight w:val="152"/>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00"/>
        </w:trPr>
        <w:tc>
          <w:tcPr>
            <w:tcW w:w="96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78"/>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0000FF"/>
              </w:rPr>
              <w:t>TORONTO</w:t>
            </w:r>
          </w:p>
        </w:tc>
        <w:tc>
          <w:tcPr>
            <w:tcW w:w="1200" w:type="dxa"/>
            <w:vAlign w:val="bottom"/>
          </w:tcPr>
          <w:p>
            <w:pPr>
              <w:ind w:left="320"/>
              <w:spacing w:after="0"/>
              <w:rPr>
                <w:sz w:val="20"/>
                <w:szCs w:val="20"/>
                <w:color w:val="auto"/>
              </w:rPr>
            </w:pPr>
            <w:r>
              <w:rPr>
                <w:rFonts w:ascii="Arial" w:cs="Arial" w:eastAsia="Arial" w:hAnsi="Arial"/>
                <w:sz w:val="13"/>
                <w:szCs w:val="13"/>
                <w:color w:val="0000FF"/>
              </w:rPr>
              <w:t>A6</w:t>
            </w:r>
          </w:p>
        </w:tc>
        <w:tc>
          <w:tcPr>
            <w:tcW w:w="1560" w:type="dxa"/>
            <w:vAlign w:val="bottom"/>
          </w:tcPr>
          <w:p>
            <w:pPr>
              <w:ind w:left="360"/>
              <w:spacing w:after="0"/>
              <w:rPr>
                <w:sz w:val="20"/>
                <w:szCs w:val="20"/>
                <w:color w:val="auto"/>
              </w:rPr>
            </w:pPr>
            <w:r>
              <w:rPr>
                <w:rFonts w:ascii="Arial" w:cs="Arial" w:eastAsia="Arial" w:hAnsi="Arial"/>
                <w:sz w:val="13"/>
                <w:szCs w:val="13"/>
                <w:color w:val="0000FF"/>
              </w:rPr>
              <w:t>M5V 2H1</w:t>
            </w:r>
          </w:p>
        </w:tc>
      </w:tr>
      <w:tr>
        <w:trPr>
          <w:trHeight w:val="112"/>
        </w:trPr>
        <w:tc>
          <w:tcPr>
            <w:tcW w:w="40" w:type="dxa"/>
            <w:vAlign w:val="bottom"/>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0"/>
                <w:szCs w:val="10"/>
                <w:color w:val="auto"/>
              </w:rPr>
              <w:t>(City)</w:t>
            </w:r>
          </w:p>
        </w:tc>
        <w:tc>
          <w:tcPr>
            <w:tcW w:w="1200" w:type="dxa"/>
            <w:vAlign w:val="bottom"/>
          </w:tcPr>
          <w:p>
            <w:pPr>
              <w:ind w:left="320"/>
              <w:spacing w:after="0"/>
              <w:rPr>
                <w:sz w:val="20"/>
                <w:szCs w:val="20"/>
                <w:color w:val="auto"/>
              </w:rPr>
            </w:pPr>
            <w:r>
              <w:rPr>
                <w:rFonts w:ascii="Arial" w:cs="Arial" w:eastAsia="Arial" w:hAnsi="Arial"/>
                <w:sz w:val="10"/>
                <w:szCs w:val="10"/>
                <w:color w:val="auto"/>
              </w:rPr>
              <w:t>(State)</w:t>
            </w:r>
          </w:p>
        </w:tc>
        <w:tc>
          <w:tcPr>
            <w:tcW w:w="1560" w:type="dxa"/>
            <w:vAlign w:val="bottom"/>
          </w:tcPr>
          <w:p>
            <w:pPr>
              <w:ind w:left="36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60"/>
              <w:spacing w:after="0"/>
              <w:rPr>
                <w:sz w:val="20"/>
                <w:szCs w:val="20"/>
                <w:color w:val="auto"/>
              </w:rPr>
            </w:pPr>
            <w:r>
              <w:rPr>
                <w:rFonts w:ascii="Arial" w:cs="Arial" w:eastAsia="Arial" w:hAnsi="Arial"/>
                <w:sz w:val="10"/>
                <w:szCs w:val="10"/>
                <w:color w:val="auto"/>
                <w:w w:val="71"/>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ind w:left="2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Cronos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CRON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900" w:type="dxa"/>
            <w:vAlign w:val="bottom"/>
            <w:gridSpan w:val="2"/>
            <w:vMerge w:val="continue"/>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1100" w:type="dxa"/>
            <w:vAlign w:val="bottom"/>
            <w:tcBorders>
              <w:bottom w:val="single" w:sz="8" w:color="0000EE"/>
            </w:tcBorders>
          </w:tcPr>
          <w:p>
            <w:pPr>
              <w:spacing w:after="0"/>
              <w:rPr>
                <w:sz w:val="2"/>
                <w:szCs w:val="2"/>
                <w:color w:val="auto"/>
              </w:rPr>
            </w:pPr>
          </w:p>
        </w:tc>
        <w:tc>
          <w:tcPr>
            <w:tcW w:w="2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44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400" w:type="dxa"/>
            <w:vAlign w:val="bottom"/>
            <w:vMerge w:val="restart"/>
          </w:tcPr>
          <w:p>
            <w:pPr>
              <w:ind w:left="26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0"/>
        </w:trPr>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140" w:type="dxa"/>
            <w:vAlign w:val="bottom"/>
            <w:gridSpan w:val="2"/>
            <w:vMerge w:val="restart"/>
          </w:tcPr>
          <w:p>
            <w:pPr>
              <w:ind w:left="60"/>
              <w:spacing w:after="0"/>
              <w:rPr>
                <w:sz w:val="20"/>
                <w:szCs w:val="20"/>
                <w:color w:val="auto"/>
              </w:rPr>
            </w:pPr>
            <w:r>
              <w:rPr>
                <w:rFonts w:ascii="Arial" w:cs="Arial" w:eastAsia="Arial" w:hAnsi="Arial"/>
                <w:sz w:val="10"/>
                <w:szCs w:val="10"/>
                <w:color w:val="auto"/>
                <w:w w:val="71"/>
              </w:rPr>
              <w:t>3.</w:t>
            </w:r>
          </w:p>
        </w:tc>
        <w:tc>
          <w:tcPr>
            <w:tcW w:w="3700" w:type="dxa"/>
            <w:vAlign w:val="bottom"/>
            <w:gridSpan w:val="2"/>
            <w:vMerge w:val="restart"/>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140" w:type="dxa"/>
            <w:vAlign w:val="bottom"/>
            <w:gridSpan w:val="2"/>
            <w:vMerge w:val="continue"/>
          </w:tcPr>
          <w:p>
            <w:pPr>
              <w:spacing w:after="0"/>
              <w:rPr>
                <w:sz w:val="7"/>
                <w:szCs w:val="7"/>
                <w:color w:val="auto"/>
              </w:rPr>
            </w:pPr>
          </w:p>
        </w:tc>
        <w:tc>
          <w:tcPr>
            <w:tcW w:w="370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144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1400" w:type="dxa"/>
            <w:vAlign w:val="bottom"/>
            <w:vMerge w:val="restart"/>
          </w:tcPr>
          <w:p>
            <w:pPr>
              <w:ind w:left="26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6"/>
        </w:trPr>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0000FF"/>
              </w:rPr>
              <w:t>05/19/2023</w:t>
            </w:r>
          </w:p>
        </w:tc>
        <w:tc>
          <w:tcPr>
            <w:tcW w:w="2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1240" w:type="dxa"/>
            <w:vAlign w:val="bottom"/>
            <w:gridSpan w:val="3"/>
            <w:vMerge w:val="continue"/>
          </w:tcPr>
          <w:p>
            <w:pPr>
              <w:spacing w:after="0"/>
              <w:rPr>
                <w:sz w:val="7"/>
                <w:szCs w:val="7"/>
                <w:color w:val="auto"/>
              </w:rPr>
            </w:pPr>
          </w:p>
        </w:tc>
        <w:tc>
          <w:tcPr>
            <w:tcW w:w="2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33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60"/>
              <w:spacing w:after="0"/>
              <w:rPr>
                <w:sz w:val="20"/>
                <w:szCs w:val="20"/>
                <w:color w:val="auto"/>
              </w:rPr>
            </w:pPr>
            <w:r>
              <w:rPr>
                <w:rFonts w:ascii="Arial" w:cs="Arial" w:eastAsia="Arial" w:hAnsi="Arial"/>
                <w:sz w:val="10"/>
                <w:szCs w:val="10"/>
                <w:color w:val="auto"/>
                <w:w w:val="71"/>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3" w:lineRule="exact"/>
        <w:rPr>
          <w:sz w:val="24"/>
          <w:szCs w:val="24"/>
          <w:color w:val="auto"/>
        </w:rPr>
      </w:pPr>
    </w:p>
    <w:p>
      <w:pPr>
        <w:ind w:left="60"/>
        <w:spacing w:after="0"/>
        <w:rPr>
          <w:sz w:val="20"/>
          <w:szCs w:val="20"/>
          <w:color w:val="auto"/>
        </w:rPr>
      </w:pPr>
      <w:r>
        <w:rPr>
          <w:rFonts w:ascii="Arial" w:cs="Arial" w:eastAsia="Arial" w:hAnsi="Arial"/>
          <w:sz w:val="16"/>
          <w:szCs w:val="16"/>
          <w:color w:val="auto"/>
        </w:rPr>
        <w:t>Rule 10b5-1(c) Transaction Indication</w:t>
      </w:r>
    </w:p>
    <w:p>
      <w:pPr>
        <w:spacing w:after="0" w:line="166" w:lineRule="exact"/>
        <w:rPr>
          <w:sz w:val="24"/>
          <w:szCs w:val="24"/>
          <w:color w:val="auto"/>
        </w:rPr>
      </w:pPr>
    </w:p>
    <w:p>
      <w:pPr>
        <w:ind w:left="240" w:right="300"/>
        <w:spacing w:after="0" w:line="255"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44"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320" w:type="dxa"/>
            <w:vAlign w:val="bottom"/>
          </w:tcPr>
          <w:p>
            <w:pPr>
              <w:ind w:left="40"/>
              <w:spacing w:after="0"/>
              <w:rPr>
                <w:sz w:val="20"/>
                <w:szCs w:val="20"/>
                <w:color w:val="auto"/>
              </w:rPr>
            </w:pPr>
            <w:r>
              <w:rPr>
                <w:rFonts w:ascii="Arial" w:cs="Arial" w:eastAsia="Arial" w:hAnsi="Arial"/>
                <w:sz w:val="10"/>
                <w:szCs w:val="10"/>
                <w:b w:val="1"/>
                <w:bCs w:val="1"/>
                <w:color w:val="auto"/>
                <w:w w:val="98"/>
              </w:rPr>
              <w:t>1. Title of Security (Instr. 3)</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4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10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 (D)</w:t>
            </w: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6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20" w:type="dxa"/>
            <w:vAlign w:val="bottom"/>
            <w:gridSpan w:val="2"/>
          </w:tcPr>
          <w:p>
            <w:pPr>
              <w:ind w:left="140"/>
              <w:spacing w:after="0" w:line="99"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120"/>
              <w:spacing w:after="0" w:line="99" w:lineRule="exact"/>
              <w:rPr>
                <w:sz w:val="20"/>
                <w:szCs w:val="20"/>
                <w:color w:val="auto"/>
              </w:rPr>
            </w:pPr>
            <w:r>
              <w:rPr>
                <w:rFonts w:ascii="Arial" w:cs="Arial" w:eastAsia="Arial" w:hAnsi="Arial"/>
                <w:sz w:val="9"/>
                <w:szCs w:val="9"/>
                <w:b w:val="1"/>
                <w:bCs w:val="1"/>
                <w:color w:val="auto"/>
              </w:rPr>
              <w:t>(Instr. 3, 4 and 5)</w:t>
            </w: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2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00" w:type="dxa"/>
            <w:vAlign w:val="bottom"/>
            <w:gridSpan w:val="3"/>
          </w:tcPr>
          <w:p>
            <w:pPr>
              <w:ind w:left="16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2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20" w:type="dxa"/>
            <w:vAlign w:val="bottom"/>
            <w:gridSpan w:val="2"/>
          </w:tcPr>
          <w:p>
            <w:pPr>
              <w:ind w:left="14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Held by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20" w:type="dxa"/>
            <w:vAlign w:val="bottom"/>
            <w:vMerge w:val="restart"/>
          </w:tcPr>
          <w:p>
            <w:pPr>
              <w:ind w:left="40"/>
              <w:spacing w:after="0"/>
              <w:rPr>
                <w:sz w:val="20"/>
                <w:szCs w:val="20"/>
                <w:color w:val="auto"/>
              </w:rPr>
            </w:pPr>
            <w:r>
              <w:rPr>
                <w:rFonts w:ascii="Arial" w:cs="Arial" w:eastAsia="Arial" w:hAnsi="Arial"/>
                <w:sz w:val="13"/>
                <w:szCs w:val="13"/>
                <w:color w:val="0000FF"/>
              </w:rPr>
              <w:t>COMMON SHARES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3"/>
                <w:szCs w:val="13"/>
                <w:color w:val="0000FF"/>
                <w:w w:val="95"/>
              </w:rPr>
              <w:t>05/19/2023</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vMerge w:val="restart"/>
          </w:tcPr>
          <w:p>
            <w:pPr>
              <w:ind w:left="180"/>
              <w:spacing w:after="0"/>
              <w:rPr>
                <w:sz w:val="20"/>
                <w:szCs w:val="20"/>
                <w:color w:val="auto"/>
              </w:rPr>
            </w:pPr>
            <w:r>
              <w:rPr>
                <w:rFonts w:ascii="Arial" w:cs="Arial" w:eastAsia="Arial" w:hAnsi="Arial"/>
                <w:sz w:val="10"/>
                <w:szCs w:val="10"/>
                <w:color w:val="0000FF"/>
              </w:rPr>
              <w:t>P</w:t>
            </w:r>
          </w:p>
        </w:tc>
        <w:tc>
          <w:tcPr>
            <w:tcW w:w="280" w:type="dxa"/>
            <w:vAlign w:val="bottom"/>
          </w:tcPr>
          <w:p>
            <w:pPr>
              <w:spacing w:after="0"/>
              <w:rPr>
                <w:sz w:val="13"/>
                <w:szCs w:val="13"/>
                <w:color w:val="auto"/>
              </w:rPr>
            </w:pPr>
          </w:p>
        </w:tc>
        <w:tc>
          <w:tcPr>
            <w:tcW w:w="940" w:type="dxa"/>
            <w:vAlign w:val="bottom"/>
            <w:gridSpan w:val="2"/>
            <w:vMerge w:val="restart"/>
          </w:tcPr>
          <w:p>
            <w:pPr>
              <w:jc w:val="right"/>
              <w:ind w:right="215"/>
              <w:spacing w:after="0"/>
              <w:rPr>
                <w:sz w:val="20"/>
                <w:szCs w:val="20"/>
                <w:color w:val="auto"/>
              </w:rPr>
            </w:pPr>
            <w:r>
              <w:rPr>
                <w:rFonts w:ascii="Arial" w:cs="Arial" w:eastAsia="Arial" w:hAnsi="Arial"/>
                <w:sz w:val="13"/>
                <w:szCs w:val="13"/>
                <w:color w:val="0000FF"/>
              </w:rPr>
              <w:t>30,000</w:t>
            </w:r>
          </w:p>
        </w:tc>
        <w:tc>
          <w:tcPr>
            <w:tcW w:w="480" w:type="dxa"/>
            <w:vAlign w:val="bottom"/>
            <w:vMerge w:val="restart"/>
          </w:tcPr>
          <w:p>
            <w:pPr>
              <w:ind w:left="20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99"/>
              </w:rPr>
              <w:t>$</w:t>
            </w:r>
            <w:r>
              <w:rPr>
                <w:rFonts w:ascii="Arial" w:cs="Arial" w:eastAsia="Arial" w:hAnsi="Arial"/>
                <w:sz w:val="13"/>
                <w:szCs w:val="13"/>
                <w:color w:val="0000FF"/>
                <w:w w:val="99"/>
              </w:rPr>
              <w:t>1.8901</w:t>
            </w:r>
            <w:r>
              <w:rPr>
                <w:rFonts w:ascii="Arial" w:cs="Arial" w:eastAsia="Arial" w:hAnsi="Arial"/>
                <w:sz w:val="16"/>
                <w:szCs w:val="16"/>
                <w:color w:val="008000"/>
                <w:w w:val="99"/>
                <w:vertAlign w:val="superscript"/>
              </w:rPr>
              <w:t>(1)</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0000FF"/>
              </w:rPr>
              <w:t>529,764</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vMerge w:val="restart"/>
          </w:tcPr>
          <w:p>
            <w:pPr>
              <w:ind w:left="100"/>
              <w:spacing w:after="0" w:line="286" w:lineRule="exact"/>
              <w:rPr>
                <w:sz w:val="20"/>
                <w:szCs w:val="20"/>
                <w:color w:val="auto"/>
              </w:rPr>
            </w:pPr>
            <w:r>
              <w:rPr>
                <w:rFonts w:ascii="Arial" w:cs="Arial" w:eastAsia="Arial" w:hAnsi="Arial"/>
                <w:sz w:val="26"/>
                <w:szCs w:val="26"/>
                <w:color w:val="0000FF"/>
                <w:vertAlign w:val="subscript"/>
              </w:rPr>
              <w:t>I</w:t>
            </w:r>
            <w:r>
              <w:rPr>
                <w:rFonts w:ascii="Arial" w:cs="Arial" w:eastAsia="Arial" w:hAnsi="Arial"/>
                <w:sz w:val="8"/>
                <w:szCs w:val="8"/>
                <w:color w:val="008000"/>
              </w:rPr>
              <w:t>(2)</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Gotham</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Green Fund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III, LP</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Held by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320" w:type="dxa"/>
            <w:vAlign w:val="bottom"/>
            <w:vMerge w:val="restart"/>
          </w:tcPr>
          <w:p>
            <w:pPr>
              <w:ind w:left="40"/>
              <w:spacing w:after="0"/>
              <w:rPr>
                <w:sz w:val="20"/>
                <w:szCs w:val="20"/>
                <w:color w:val="auto"/>
              </w:rPr>
            </w:pPr>
            <w:r>
              <w:rPr>
                <w:rFonts w:ascii="Arial" w:cs="Arial" w:eastAsia="Arial" w:hAnsi="Arial"/>
                <w:sz w:val="13"/>
                <w:szCs w:val="13"/>
                <w:color w:val="0000FF"/>
              </w:rPr>
              <w:t>COMMON SHARES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gridSpan w:val="2"/>
            <w:vMerge w:val="restart"/>
          </w:tcPr>
          <w:p>
            <w:pPr>
              <w:ind w:left="220"/>
              <w:spacing w:after="0"/>
              <w:rPr>
                <w:sz w:val="20"/>
                <w:szCs w:val="20"/>
                <w:color w:val="auto"/>
              </w:rPr>
            </w:pPr>
            <w:r>
              <w:rPr>
                <w:rFonts w:ascii="Arial" w:cs="Arial" w:eastAsia="Arial" w:hAnsi="Arial"/>
                <w:sz w:val="13"/>
                <w:szCs w:val="13"/>
                <w:color w:val="0000FF"/>
                <w:w w:val="95"/>
              </w:rPr>
              <w:t>05/19/2023</w:t>
            </w: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vMerge w:val="restart"/>
          </w:tcPr>
          <w:p>
            <w:pPr>
              <w:ind w:left="180"/>
              <w:spacing w:after="0"/>
              <w:rPr>
                <w:sz w:val="20"/>
                <w:szCs w:val="20"/>
                <w:color w:val="auto"/>
              </w:rPr>
            </w:pPr>
            <w:r>
              <w:rPr>
                <w:rFonts w:ascii="Arial" w:cs="Arial" w:eastAsia="Arial" w:hAnsi="Arial"/>
                <w:sz w:val="10"/>
                <w:szCs w:val="10"/>
                <w:color w:val="0000FF"/>
              </w:rPr>
              <w:t>P</w:t>
            </w:r>
          </w:p>
        </w:tc>
        <w:tc>
          <w:tcPr>
            <w:tcW w:w="280" w:type="dxa"/>
            <w:vAlign w:val="bottom"/>
          </w:tcPr>
          <w:p>
            <w:pPr>
              <w:spacing w:after="0"/>
              <w:rPr>
                <w:sz w:val="13"/>
                <w:szCs w:val="13"/>
                <w:color w:val="auto"/>
              </w:rPr>
            </w:pPr>
          </w:p>
        </w:tc>
        <w:tc>
          <w:tcPr>
            <w:tcW w:w="940" w:type="dxa"/>
            <w:vAlign w:val="bottom"/>
            <w:gridSpan w:val="2"/>
            <w:vMerge w:val="restart"/>
          </w:tcPr>
          <w:p>
            <w:pPr>
              <w:jc w:val="right"/>
              <w:ind w:right="215"/>
              <w:spacing w:after="0"/>
              <w:rPr>
                <w:sz w:val="20"/>
                <w:szCs w:val="20"/>
                <w:color w:val="auto"/>
              </w:rPr>
            </w:pPr>
            <w:r>
              <w:rPr>
                <w:rFonts w:ascii="Arial" w:cs="Arial" w:eastAsia="Arial" w:hAnsi="Arial"/>
                <w:sz w:val="13"/>
                <w:szCs w:val="13"/>
                <w:color w:val="0000FF"/>
              </w:rPr>
              <w:t>70,000</w:t>
            </w:r>
          </w:p>
        </w:tc>
        <w:tc>
          <w:tcPr>
            <w:tcW w:w="480" w:type="dxa"/>
            <w:vAlign w:val="bottom"/>
            <w:vMerge w:val="restart"/>
          </w:tcPr>
          <w:p>
            <w:pPr>
              <w:ind w:left="20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jc w:val="center"/>
              <w:ind w:right="4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1.8901</w:t>
            </w:r>
          </w:p>
        </w:tc>
        <w:tc>
          <w:tcPr>
            <w:tcW w:w="1220" w:type="dxa"/>
            <w:vAlign w:val="bottom"/>
            <w:gridSpan w:val="3"/>
            <w:vMerge w:val="restart"/>
          </w:tcPr>
          <w:p>
            <w:pPr>
              <w:jc w:val="right"/>
              <w:ind w:right="335"/>
              <w:spacing w:after="0"/>
              <w:rPr>
                <w:sz w:val="20"/>
                <w:szCs w:val="20"/>
                <w:color w:val="auto"/>
              </w:rPr>
            </w:pPr>
            <w:r>
              <w:rPr>
                <w:rFonts w:ascii="Arial" w:cs="Arial" w:eastAsia="Arial" w:hAnsi="Arial"/>
                <w:sz w:val="13"/>
                <w:szCs w:val="13"/>
                <w:color w:val="0000FF"/>
              </w:rPr>
              <w:t>1,236,056</w:t>
            </w:r>
          </w:p>
        </w:tc>
        <w:tc>
          <w:tcPr>
            <w:tcW w:w="260" w:type="dxa"/>
            <w:vAlign w:val="bottom"/>
          </w:tcPr>
          <w:p>
            <w:pPr>
              <w:spacing w:after="0"/>
              <w:rPr>
                <w:sz w:val="13"/>
                <w:szCs w:val="13"/>
                <w:color w:val="auto"/>
              </w:rPr>
            </w:pPr>
          </w:p>
        </w:tc>
        <w:tc>
          <w:tcPr>
            <w:tcW w:w="640" w:type="dxa"/>
            <w:vAlign w:val="bottom"/>
            <w:vMerge w:val="restart"/>
          </w:tcPr>
          <w:p>
            <w:pPr>
              <w:ind w:left="100"/>
              <w:spacing w:after="0" w:line="286" w:lineRule="exact"/>
              <w:rPr>
                <w:sz w:val="20"/>
                <w:szCs w:val="20"/>
                <w:color w:val="auto"/>
              </w:rPr>
            </w:pPr>
            <w:r>
              <w:rPr>
                <w:rFonts w:ascii="Arial" w:cs="Arial" w:eastAsia="Arial" w:hAnsi="Arial"/>
                <w:sz w:val="26"/>
                <w:szCs w:val="26"/>
                <w:color w:val="0000FF"/>
                <w:vertAlign w:val="subscript"/>
              </w:rPr>
              <w:t>I</w:t>
            </w:r>
            <w:r>
              <w:rPr>
                <w:rFonts w:ascii="Arial" w:cs="Arial" w:eastAsia="Arial" w:hAnsi="Arial"/>
                <w:sz w:val="8"/>
                <w:szCs w:val="8"/>
                <w:color w:val="008000"/>
              </w:rPr>
              <w:t>(3)</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Gotham</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Green Fund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III (Q), LP</w:t>
            </w: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400" w:type="dxa"/>
            <w:vAlign w:val="bottom"/>
            <w:tcBorders>
              <w:bottom w:val="single" w:sz="8" w:color="2C2C2C"/>
            </w:tcBorders>
            <w:gridSpan w:val="11"/>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3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4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80" w:type="dxa"/>
            <w:vAlign w:val="bottom"/>
            <w:gridSpan w:val="9"/>
          </w:tcPr>
          <w:p>
            <w:pPr>
              <w:ind w:left="1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gridSpan w:val="2"/>
          </w:tcPr>
          <w:p>
            <w:pPr>
              <w:spacing w:after="0" w:line="20" w:lineRule="exact"/>
              <w:rPr>
                <w:sz w:val="1"/>
                <w:szCs w:val="1"/>
                <w:color w:val="auto"/>
              </w:rPr>
            </w:pPr>
          </w:p>
        </w:tc>
        <w:tc>
          <w:tcPr>
            <w:tcW w:w="920" w:type="dxa"/>
            <w:vAlign w:val="bottom"/>
            <w:tcBorders>
              <w:bottom w:val="single" w:sz="8" w:color="2C2C2C"/>
            </w:tcBorders>
            <w:gridSpan w:val="2"/>
          </w:tcPr>
          <w:p>
            <w:pPr>
              <w:spacing w:after="0" w:line="20" w:lineRule="exact"/>
              <w:rPr>
                <w:sz w:val="1"/>
                <w:szCs w:val="1"/>
                <w:color w:val="auto"/>
              </w:rPr>
            </w:pPr>
          </w:p>
        </w:tc>
        <w:tc>
          <w:tcPr>
            <w:tcW w:w="1200" w:type="dxa"/>
            <w:vAlign w:val="bottom"/>
            <w:tcBorders>
              <w:bottom w:val="single" w:sz="8" w:color="2C2C2C"/>
            </w:tcBorders>
            <w:gridSpan w:val="3"/>
          </w:tcPr>
          <w:p>
            <w:pPr>
              <w:spacing w:after="0" w:line="20" w:lineRule="exact"/>
              <w:rPr>
                <w:sz w:val="1"/>
                <w:szCs w:val="1"/>
                <w:color w:val="auto"/>
              </w:rPr>
            </w:pPr>
          </w:p>
        </w:tc>
        <w:tc>
          <w:tcPr>
            <w:tcW w:w="1580" w:type="dxa"/>
            <w:vAlign w:val="bottom"/>
            <w:tcBorders>
              <w:bottom w:val="single" w:sz="8" w:color="2C2C2C"/>
            </w:tcBorders>
            <w:gridSpan w:val="3"/>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2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20"/>
              <w:spacing w:after="0"/>
              <w:rPr>
                <w:sz w:val="20"/>
                <w:szCs w:val="20"/>
                <w:color w:val="auto"/>
              </w:rPr>
            </w:pPr>
            <w:r>
              <w:rPr>
                <w:rFonts w:ascii="Arial" w:cs="Arial" w:eastAsia="Arial" w:hAnsi="Arial"/>
                <w:sz w:val="9"/>
                <w:szCs w:val="9"/>
                <w:b w:val="1"/>
                <w:bCs w:val="1"/>
                <w:color w:val="auto"/>
              </w:rPr>
              <w:t>6. Date Exercisable and</w:t>
            </w:r>
          </w:p>
        </w:tc>
        <w:tc>
          <w:tcPr>
            <w:tcW w:w="158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2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2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26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ind w:left="20"/>
              <w:spacing w:after="0" w:line="101" w:lineRule="exact"/>
              <w:rPr>
                <w:sz w:val="20"/>
                <w:szCs w:val="20"/>
                <w:color w:val="auto"/>
              </w:rPr>
            </w:pPr>
            <w:r>
              <w:rPr>
                <w:rFonts w:ascii="Arial" w:cs="Arial" w:eastAsia="Arial" w:hAnsi="Arial"/>
                <w:sz w:val="9"/>
                <w:szCs w:val="9"/>
                <w:b w:val="1"/>
                <w:bCs w:val="1"/>
                <w:color w:val="auto"/>
                <w:w w:val="96"/>
              </w:rPr>
              <w:t>Reported</w:t>
            </w: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2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40" w:right="180" w:hanging="10"/>
        <w:spacing w:after="0" w:line="255" w:lineRule="auto"/>
        <w:tabs>
          <w:tab w:leader="none" w:pos="13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purchased in multiple transactions ranging from $1.875 to $1.90. The reporting person undertakes to provide to the Issuer, any security holder of the Issuer, or the staff of the Securities and Exchange Commission, upon request, full information regarding the number of shares purchased at each separate price within the range set forth above.</w:t>
      </w:r>
    </w:p>
    <w:p>
      <w:pPr>
        <w:spacing w:after="0" w:line="15" w:lineRule="exact"/>
        <w:rPr>
          <w:rFonts w:ascii="Arial" w:cs="Arial" w:eastAsia="Arial" w:hAnsi="Arial"/>
          <w:sz w:val="10"/>
          <w:szCs w:val="10"/>
          <w:color w:val="008000"/>
        </w:rPr>
      </w:pPr>
    </w:p>
    <w:p>
      <w:pPr>
        <w:ind w:left="40" w:right="16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Gotham Green GP III, LLC is the general partner of Gotham Green Fund III,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p>
      <w:pPr>
        <w:spacing w:after="0" w:line="15" w:lineRule="exact"/>
        <w:rPr>
          <w:rFonts w:ascii="Arial" w:cs="Arial" w:eastAsia="Arial" w:hAnsi="Arial"/>
          <w:sz w:val="10"/>
          <w:szCs w:val="10"/>
          <w:color w:val="008000"/>
        </w:rPr>
      </w:pPr>
    </w:p>
    <w:p>
      <w:pPr>
        <w:ind w:left="40" w:right="160" w:hanging="10"/>
        <w:spacing w:after="0" w:line="255"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Gotham Green GP III, LLC is the general partner of Gotham Green Fund III (Q),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p>
      <w:pPr>
        <w:sectPr>
          <w:pgSz w:w="11900" w:h="16838" w:orient="portrait"/>
          <w:cols w:equalWidth="0" w:num="1">
            <w:col w:w="11020"/>
          </w:cols>
          <w:pgMar w:left="440" w:top="203" w:right="439" w:bottom="1440" w:gutter="0" w:footer="0" w:header="0"/>
          <w:type w:val="continuous"/>
        </w:sectPr>
      </w:pPr>
    </w:p>
    <w:p>
      <w:pPr>
        <w:spacing w:after="0" w:line="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9" w:lineRule="exact"/>
        <w:rPr>
          <w:sz w:val="24"/>
          <w:szCs w:val="24"/>
          <w:color w:val="auto"/>
        </w:rPr>
      </w:pPr>
    </w:p>
    <w:p>
      <w:pPr>
        <w:ind w:left="6620"/>
        <w:spacing w:after="0"/>
        <w:rPr>
          <w:sz w:val="20"/>
          <w:szCs w:val="20"/>
          <w:color w:val="auto"/>
        </w:rPr>
      </w:pPr>
      <w:r>
        <w:rPr>
          <w:rFonts w:ascii="Arial" w:cs="Arial" w:eastAsia="Arial" w:hAnsi="Arial"/>
          <w:sz w:val="11"/>
          <w:szCs w:val="11"/>
          <w:color w:val="0000FF"/>
        </w:rPr>
        <w:t>/s/ Andrew Davisson,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4199890</wp:posOffset>
            </wp:positionH>
            <wp:positionV relativeFrom="paragraph">
              <wp:posOffset>5715</wp:posOffset>
            </wp:positionV>
            <wp:extent cx="13335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3500" cy="6350"/>
                    </a:xfrm>
                    <a:prstGeom prst="rect">
                      <a:avLst/>
                    </a:prstGeom>
                    <a:noFill/>
                  </pic:spPr>
                </pic:pic>
              </a:graphicData>
            </a:graphic>
          </wp:anchor>
        </w:drawing>
      </w:r>
    </w:p>
    <w:p>
      <w:pPr>
        <w:spacing w:after="0" w:line="17"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for Jason M. Adler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4199890</wp:posOffset>
            </wp:positionH>
            <wp:positionV relativeFrom="paragraph">
              <wp:posOffset>-10160</wp:posOffset>
            </wp:positionV>
            <wp:extent cx="61976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19760" cy="6350"/>
                    </a:xfrm>
                    <a:prstGeom prst="rect">
                      <a:avLst/>
                    </a:prstGeom>
                    <a:noFill/>
                  </pic:spPr>
                </pic:pic>
              </a:graphicData>
            </a:graphic>
          </wp:anchor>
        </w:drawing>
      </w:r>
    </w:p>
    <w:p>
      <w:pPr>
        <w:spacing w:after="0" w:line="26"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jc w:val="both"/>
        <w:ind w:left="40" w:right="2920" w:hanging="10"/>
        <w:spacing w:after="0" w:line="345" w:lineRule="auto"/>
        <w:tabs>
          <w:tab w:leader="none" w:pos="146" w:val="left"/>
        </w:tabs>
        <w:numPr>
          <w:ilvl w:val="0"/>
          <w:numId w:val="2"/>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rPr>
          <w:sz w:val="20"/>
          <w:szCs w:val="20"/>
          <w:color w:val="auto"/>
        </w:rPr>
      </w:pPr>
      <w:r>
        <w:rPr>
          <w:rFonts w:ascii="Arial" w:cs="Arial" w:eastAsia="Arial" w:hAnsi="Arial"/>
          <w:sz w:val="11"/>
          <w:szCs w:val="11"/>
          <w:color w:val="0000FF"/>
        </w:rPr>
        <w:t>05/23/2023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37655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20" w:space="100"/>
            <w:col w:w="2200"/>
          </w:cols>
          <w:pgMar w:left="440" w:top="203" w:right="439" w:bottom="1440" w:gutter="0" w:footer="0" w:header="0"/>
          <w:type w:val="continuous"/>
        </w:sectPr>
      </w:pPr>
    </w:p>
    <w:bookmarkStart w:id="1" w:name="page2"/>
    <w:bookmarkEnd w:id="1"/>
    <w:p>
      <w:pPr>
        <w:spacing w:after="0"/>
        <w:tabs>
          <w:tab w:leader="none" w:pos="1000" w:val="left"/>
        </w:tabs>
        <w:rPr>
          <w:sz w:val="20"/>
          <w:szCs w:val="20"/>
          <w:color w:val="auto"/>
        </w:rPr>
      </w:pPr>
      <w:r>
        <w:rPr>
          <w:rFonts w:ascii="Courier New" w:cs="Courier New" w:eastAsia="Courier New" w:hAnsi="Courier New"/>
          <w:sz w:val="13"/>
          <w:szCs w:val="13"/>
          <w:color w:val="auto"/>
        </w:rPr>
        <w:t>Jason Adler</w:t>
      </w:r>
      <w:r>
        <w:rPr>
          <w:sz w:val="20"/>
          <w:szCs w:val="20"/>
          <w:color w:val="auto"/>
        </w:rPr>
        <w:tab/>
      </w:r>
      <w:r>
        <w:rPr>
          <w:rFonts w:ascii="Courier New" w:cs="Courier New" w:eastAsia="Courier New" w:hAnsi="Courier New"/>
          <w:sz w:val="12"/>
          <w:szCs w:val="12"/>
          <w:color w:val="auto"/>
        </w:rPr>
        <w:t>Exhibit 24</w:t>
      </w: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Authorization and Designation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to Sign and File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Section 16 Reporting Forms</w:t>
      </w:r>
    </w:p>
    <w:p>
      <w:pPr>
        <w:spacing w:after="0" w:line="200" w:lineRule="exact"/>
        <w:rPr>
          <w:sz w:val="20"/>
          <w:szCs w:val="20"/>
          <w:color w:val="auto"/>
        </w:rPr>
      </w:pPr>
    </w:p>
    <w:p>
      <w:pPr>
        <w:spacing w:after="0" w:line="241" w:lineRule="exact"/>
        <w:rPr>
          <w:sz w:val="20"/>
          <w:szCs w:val="20"/>
          <w:color w:val="auto"/>
        </w:rPr>
      </w:pPr>
    </w:p>
    <w:p>
      <w:pPr>
        <w:ind w:left="320"/>
        <w:spacing w:after="0" w:line="543" w:lineRule="auto"/>
        <w:rPr>
          <w:sz w:val="20"/>
          <w:szCs w:val="20"/>
          <w:color w:val="auto"/>
        </w:rPr>
      </w:pPr>
      <w:r>
        <w:rPr>
          <w:rFonts w:ascii="Courier New" w:cs="Courier New" w:eastAsia="Courier New" w:hAnsi="Courier New"/>
          <w:sz w:val="13"/>
          <w:szCs w:val="13"/>
          <w:color w:val="auto"/>
        </w:rPr>
        <w:t>The undersigned, a director of Cronos Group Inc., a corporation incorporated under the Business Corporations Act (British Columbia) (the " IN WITNESS WHEREOF, the undersigned has executed this Authorization and Designation this 23rd day of May, 2023.</w:t>
      </w:r>
    </w:p>
    <w:p>
      <w:pPr>
        <w:spacing w:after="0" w:line="385" w:lineRule="exact"/>
        <w:rPr>
          <w:sz w:val="20"/>
          <w:szCs w:val="20"/>
          <w:color w:val="auto"/>
        </w:rPr>
      </w:pPr>
    </w:p>
    <w:p>
      <w:pPr>
        <w:ind w:left="2360"/>
        <w:spacing w:after="0"/>
        <w:rPr>
          <w:sz w:val="20"/>
          <w:szCs w:val="20"/>
          <w:color w:val="auto"/>
        </w:rPr>
      </w:pPr>
      <w:r>
        <w:rPr>
          <w:rFonts w:ascii="Courier New" w:cs="Courier New" w:eastAsia="Courier New" w:hAnsi="Courier New"/>
          <w:sz w:val="13"/>
          <w:szCs w:val="13"/>
          <w:color w:val="auto"/>
        </w:rPr>
        <w:t>/s/ Jason Adler</w:t>
      </w:r>
    </w:p>
    <w:p>
      <w:pPr>
        <w:spacing w:after="0" w:line="15" w:lineRule="exact"/>
        <w:rPr>
          <w:sz w:val="20"/>
          <w:szCs w:val="20"/>
          <w:color w:val="auto"/>
        </w:rPr>
      </w:pPr>
    </w:p>
    <w:p>
      <w:pPr>
        <w:ind w:left="2200"/>
        <w:spacing w:after="0"/>
        <w:rPr>
          <w:sz w:val="20"/>
          <w:szCs w:val="20"/>
          <w:color w:val="auto"/>
        </w:rPr>
      </w:pPr>
      <w:r>
        <w:rPr>
          <w:rFonts w:ascii="Courier New" w:cs="Courier New" w:eastAsia="Courier New" w:hAnsi="Courier New"/>
          <w:sz w:val="13"/>
          <w:szCs w:val="13"/>
          <w:color w:val="auto"/>
        </w:rPr>
        <w:t>Jason Adler</w:t>
      </w:r>
    </w:p>
    <w:sectPr>
      <w:pgSz w:w="11900" w:h="16838" w:orient="portrait"/>
      <w:cols w:equalWidth="0" w:num="1">
        <w:col w:w="11100"/>
      </w:cols>
      <w:pgMar w:left="440" w:top="25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6212" TargetMode="External"/><Relationship Id="rId13" Type="http://schemas.openxmlformats.org/officeDocument/2006/relationships/hyperlink" Target="http://www.sec.gov/cgi-bin/browse-edgar?action=getcompany&amp;CIK=0001656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2023-05-23T15:41:41Z</dcterms:created>
  <dcterms:modified xsi:type="dcterms:W3CDTF">2023-05-23T15:41:41Z</dcterms:modified>
</cp:coreProperties>
</file>