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3925570</wp:posOffset>
            </wp:positionH>
            <wp:positionV relativeFrom="paragraph">
              <wp:posOffset>-608965</wp:posOffset>
            </wp:positionV>
            <wp:extent cx="57150" cy="62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640715</wp:posOffset>
            </wp:positionV>
            <wp:extent cx="6997065" cy="515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15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Wagner Adam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4491 CONCESSION 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Cronos 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10,063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83,213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10,407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7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176,043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7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165,636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-2296160</wp:posOffset>
            </wp:positionV>
            <wp:extent cx="28575" cy="2301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0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common share of Cronos Group Inc.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2023, the Reporting Person was granted 30,190 RSUs, vesting in three substantially equal annual installments beginning on the first anniversary of the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2024, the Reporting Person was granted 31,220 RSUs, vesting in three substantially equal annual installments beginning on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General Manager, Cronos Israel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Aaron Werner,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Adam Wagner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25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5587365</wp:posOffset>
            </wp:positionH>
            <wp:positionV relativeFrom="paragraph">
              <wp:posOffset>-80010</wp:posOffset>
            </wp:positionV>
            <wp:extent cx="471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799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2026-05-12T16:21:48Z</dcterms:created>
  <dcterms:modified xsi:type="dcterms:W3CDTF">2026-05-12T16:21:48Z</dcterms:modified>
</cp:coreProperties>
</file>