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2280.xml.htm"/>
      <w:bookmarkStart w:id="1" w:name="kswkform4_1778792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Wagner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2"/>
        <w:gridCol w:w="902"/>
        <w:gridCol w:w="771"/>
        <w:gridCol w:w="599"/>
        <w:gridCol w:w="347"/>
        <w:gridCol w:w="927"/>
        <w:gridCol w:w="452"/>
        <w:gridCol w:w="614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10,367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155,269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of Cronos Group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May 12, 2025, the reporting person was granted 31,102 RSUs, vesting in three substantially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Manager, Cronos Israel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Werner, as attorney-in-fact for Adam Wagner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799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3404</Characters>
  <CharactersWithSpaces>3962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