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81915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78105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67945</wp:posOffset>
            </wp:positionV>
            <wp:extent cx="3454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4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CRONOS GROUP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61595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sectPr>
      </w:pPr>
    </w:p>
    <w:p>
      <w:pPr>
        <w:spacing w:after="0" w:line="23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001-38403</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sectPr>
          <w:pgSz w:w="11900" w:h="16838" w:orient="portrait"/>
          <w:cols w:equalWidth="0" w:num="3">
            <w:col w:w="4420" w:space="720"/>
            <w:col w:w="3300" w:space="720"/>
            <w:col w:w="2100"/>
          </w:cols>
          <w:pgMar w:left="320" w:top="1235" w:right="319" w:bottom="1440" w:gutter="0" w:footer="0" w:header="0"/>
          <w:type w:val="continuous"/>
        </w:sectPr>
      </w:pPr>
    </w:p>
    <w:p>
      <w:pPr>
        <w:jc w:val="center"/>
        <w:ind w:right="6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6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7"/>
          <w:szCs w:val="17"/>
          <w:color w:val="auto"/>
        </w:rPr>
        <w:t>(Commission</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85" w:lineRule="exact"/>
        <w:rPr>
          <w:sz w:val="24"/>
          <w:szCs w:val="24"/>
          <w:color w:val="auto"/>
        </w:rPr>
      </w:pPr>
    </w:p>
    <w:p>
      <w:pPr>
        <w:sectPr>
          <w:pgSz w:w="11900" w:h="16838" w:orient="portrait"/>
          <w:cols w:equalWidth="0" w:num="3">
            <w:col w:w="4320" w:space="720"/>
            <w:col w:w="2880" w:space="720"/>
            <w:col w:w="2620"/>
          </w:cols>
          <w:pgMar w:left="320" w:top="1235" w:right="319" w:bottom="1440" w:gutter="0" w:footer="0" w:header="0"/>
          <w:type w:val="continuous"/>
        </w:sect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4491 Concession Rd 12</w:t>
      </w:r>
    </w:p>
    <w:p>
      <w:pPr>
        <w:spacing w:after="0" w:line="32"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b w:val="1"/>
          <w:bCs w:val="1"/>
          <w:color w:val="auto"/>
        </w:rPr>
        <w:t>Stayner, Ontario</w:t>
      </w:r>
    </w:p>
    <w:p>
      <w:pPr>
        <w:spacing w:after="0" w:line="34" w:lineRule="exact"/>
        <w:rPr>
          <w:sz w:val="24"/>
          <w:szCs w:val="24"/>
          <w:color w:val="auto"/>
        </w:rPr>
      </w:pPr>
    </w:p>
    <w:p>
      <w:pPr>
        <w:jc w:val="center"/>
        <w:ind w:right="3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L0M 1S0</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640"/>
          </w:cols>
          <w:pgMar w:left="320" w:top="1235" w:right="319" w:bottom="1440" w:gutter="0" w:footer="0" w:header="0"/>
          <w:type w:val="continuous"/>
        </w:sectPr>
      </w:pP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(416) 504-0004</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231F20"/>
              </w:rPr>
              <w:t>Name of each exchange on which registered</w:t>
            </w:r>
          </w:p>
        </w:tc>
      </w:tr>
      <w:tr>
        <w:trPr>
          <w:trHeight w:val="21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28" w:lineRule="exact"/>
        <w:rPr>
          <w:sz w:val="24"/>
          <w:szCs w:val="24"/>
          <w:color w:val="auto"/>
        </w:rPr>
      </w:pPr>
    </w:p>
    <w:p>
      <w:pPr>
        <w:ind w:left="100" w:right="280"/>
        <w:spacing w:after="0" w:line="271" w:lineRule="auto"/>
        <w:rPr>
          <w:sz w:val="20"/>
          <w:szCs w:val="20"/>
          <w:color w:val="auto"/>
        </w:rPr>
      </w:pPr>
      <w:r>
        <w:rPr>
          <w:rFonts w:ascii="Times New Roman" w:cs="Times New Roman" w:eastAsia="Times New Roman" w:hAnsi="Times New Roman"/>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ind w:right="20"/>
        <w:spacing w:after="0" w:line="184"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6"/>
          <w:szCs w:val="16"/>
          <w:color w:val="000000"/>
        </w:rPr>
        <w:t>☐</w:t>
      </w:r>
    </w:p>
    <w:p>
      <w:pPr>
        <w:spacing w:after="0" w:line="249" w:lineRule="exact"/>
        <w:rPr>
          <w:sz w:val="24"/>
          <w:szCs w:val="24"/>
          <w:color w:val="auto"/>
        </w:rPr>
      </w:pPr>
    </w:p>
    <w:p>
      <w:pPr>
        <w:ind w:left="80" w:right="500"/>
        <w:spacing w:after="0" w:line="193"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5"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2025, Cronos Group Inc. (the “Company”) issued a press release announcing its financial results for its fourth quarter and full year ended December 31, 2024. A copy of the press release is attached as Exhibit 99.1 to and is incorporated by reference in this Current Report on Form 8-K.</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spacing w:after="0" w:line="1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360" w:type="dxa"/>
            <w:vAlign w:val="bottom"/>
          </w:tcPr>
          <w:p>
            <w:pPr>
              <w:spacing w:after="0"/>
              <w:rPr>
                <w:sz w:val="20"/>
                <w:szCs w:val="20"/>
                <w:color w:val="auto"/>
              </w:rPr>
            </w:pPr>
          </w:p>
        </w:tc>
        <w:tc>
          <w:tcPr>
            <w:tcW w:w="9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0"/>
                <w:szCs w:val="20"/>
                <w:color w:val="auto"/>
              </w:rPr>
            </w:pPr>
          </w:p>
        </w:tc>
      </w:tr>
      <w:tr>
        <w:trPr>
          <w:trHeight w:val="196"/>
        </w:trPr>
        <w:tc>
          <w:tcPr>
            <w:tcW w:w="1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49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issued by Cronos Group Inc., dated February 27, 2025.</w:t>
            </w:r>
          </w:p>
        </w:tc>
        <w:tc>
          <w:tcPr>
            <w:tcW w:w="4460" w:type="dxa"/>
            <w:vAlign w:val="bottom"/>
            <w:gridSpan w:val="2"/>
          </w:tcPr>
          <w:p>
            <w:pPr>
              <w:spacing w:after="0"/>
              <w:rPr>
                <w:sz w:val="17"/>
                <w:szCs w:val="17"/>
                <w:color w:val="auto"/>
              </w:rPr>
            </w:pP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from Cronos Group Inc.’s Current Report on Form 8-K filed on February</w:t>
            </w: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 2025 is formatted in Inline XBRL.</w:t>
            </w:r>
          </w:p>
        </w:tc>
      </w:tr>
      <w:tr>
        <w:trPr>
          <w:trHeight w:val="1505"/>
        </w:trPr>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CRONOS GROUP INC.</w:t>
            </w:r>
          </w:p>
        </w:tc>
      </w:tr>
      <w:tr>
        <w:trPr>
          <w:trHeight w:val="76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27, 2025</w:t>
            </w:r>
          </w:p>
        </w:tc>
        <w:tc>
          <w:tcPr>
            <w:tcW w:w="24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Gorenstein</w:t>
            </w:r>
          </w:p>
        </w:tc>
      </w:tr>
      <w:tr>
        <w:trPr>
          <w:trHeight w:val="218"/>
        </w:trPr>
        <w:tc>
          <w:tcPr>
            <w:tcW w:w="3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Michael Gorenstein</w:t>
            </w:r>
          </w:p>
        </w:tc>
      </w:tr>
      <w:tr>
        <w:trPr>
          <w:trHeight w:val="234"/>
        </w:trPr>
        <w:tc>
          <w:tcPr>
            <w:tcW w:w="3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ectPr>
          <w:pgSz w:w="11900" w:h="16838" w:orient="portrait"/>
          <w:cols w:equalWidth="0" w:num="1">
            <w:col w:w="11240"/>
          </w:cols>
          <w:pgMar w:left="320" w:top="144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378460</wp:posOffset>
            </wp:positionV>
            <wp:extent cx="142303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Cronos Group Reports 2024 Fourth Quarter and Full-Year Results</w:t>
      </w:r>
    </w:p>
    <w:p>
      <w:pPr>
        <w:spacing w:after="0" w:line="276" w:lineRule="exact"/>
        <w:rPr>
          <w:sz w:val="20"/>
          <w:szCs w:val="20"/>
          <w:color w:val="auto"/>
        </w:rPr>
      </w:pPr>
    </w:p>
    <w:p>
      <w:pPr>
        <w:jc w:val="center"/>
        <w:spacing w:after="0" w:line="316" w:lineRule="auto"/>
        <w:rPr>
          <w:sz w:val="20"/>
          <w:szCs w:val="20"/>
          <w:color w:val="auto"/>
        </w:rPr>
      </w:pPr>
      <w:r>
        <w:rPr>
          <w:rFonts w:ascii="Arial" w:cs="Arial" w:eastAsia="Arial" w:hAnsi="Arial"/>
          <w:sz w:val="18"/>
          <w:szCs w:val="18"/>
          <w:i w:val="1"/>
          <w:iCs w:val="1"/>
          <w:color w:val="auto"/>
        </w:rPr>
        <w:t>Net revenue in Q4 2024 increased by 27% year-over-year to $30.3 million; Net revenue in FY 2024 increased by 35% year-over-year to $117.6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Spinach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Ends 2024 as the Number One Cannabis Brand in Canada</w:t>
      </w:r>
      <w:r>
        <w:rPr>
          <w:rFonts w:ascii="Arial" w:cs="Arial" w:eastAsia="Arial" w:hAnsi="Arial"/>
          <w:sz w:val="23"/>
          <w:szCs w:val="23"/>
          <w:i w:val="1"/>
          <w:iCs w:val="1"/>
          <w:color w:val="auto"/>
          <w:vertAlign w:val="superscript"/>
        </w:rPr>
        <w: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PEACE NATURALS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Ends 2024 as the Number One Cannabis Brand in Israel </w:t>
      </w:r>
      <w:r>
        <w:rPr>
          <w:rFonts w:ascii="Arial" w:cs="Arial" w:eastAsia="Arial" w:hAnsi="Arial"/>
          <w:sz w:val="23"/>
          <w:szCs w:val="23"/>
          <w:i w:val="1"/>
          <w:iCs w:val="1"/>
          <w:color w:val="auto"/>
          <w:vertAlign w:val="superscript"/>
        </w:rPr>
        <w:t>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 leading balance sheet with $859 million in cash and cash equivalents</w:t>
      </w:r>
    </w:p>
    <w:p>
      <w:pPr>
        <w:spacing w:after="0" w:line="200" w:lineRule="exact"/>
        <w:rPr>
          <w:sz w:val="20"/>
          <w:szCs w:val="20"/>
          <w:color w:val="auto"/>
        </w:rPr>
      </w:pPr>
    </w:p>
    <w:p>
      <w:pPr>
        <w:spacing w:after="0" w:line="320"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TORONTO, February 27, 2025 - Cronos Group Inc. (NASDAQ: CRON) (TSX: CRON) (“Cronos” or the “Company”), today announced its 2024 fourth quarter and full-year business results.</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"We set ambitious goals to deliver robust growth, improve margins, and achieve operational excellence. Today, I am proud to say that Cronos has not only met but exceeded these objectives, as evidenced by our strong 2024 results. Our unwavering commitment to innovation, quality, and disciplined cost management has solidified our leadership in the global cannabis industry," said Mike Gorenstein, Chairman, President and CEO of Cronos.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Spinach</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becoming the number one cannabis brand in Canada and PEACE NATURALS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achieving a number one position in Israel, to our groundbreaking advancements in cannabis genetics, to international expansion, Cronos is well-positioned to capitalize on future opportunities and drive long-term value for our shareholders. As we look ahead to 2025, we remain focused on sustaining this momentum, strengthening our market leadership, and delivering innovative products that resonate with consumers worldwide," continued Mr. Gorenstein. "Our strategic investments, such as Cronos GrowCo, have enhanced our cultivation capabilities, ensuring a consistent supply of high-quality cannabis at scale with an improved gross margin profile, while our R&amp;D breakthroughs have set new industry standards. Internationally, we’ve made significant strides, with PEACE NATURALS</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leading in Israel and gaining traction in Germany and the UK. Combined with a robust balance sheet and a portfolio of best-selling, borderless brands, Cronos is not just leading today, we’re building the foundation for long-term excellence in the global cannabis industry. Looking to 2025, we're excited about the opportunities ahead as we continue to innovate, expand, and deliver for our consumers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 xml:space="preserve"> Hifyre Retail Analytics - National Retail Dollar by Brand in Canada - December 2024.</w:t>
      </w:r>
    </w:p>
    <w:p>
      <w:pPr>
        <w:spacing w:after="0"/>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Market share and ranking information from pharmacy data collected by Cronos - December 2024.</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Consolidated Financial Results</w:t>
      </w:r>
    </w:p>
    <w:p>
      <w:pPr>
        <w:spacing w:after="0" w:line="15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June 20, 2024 the Company made an additional investment in Cronos Growing Company ("Cronos GrowCo") to fund the expansion of cultivation operations. Cronos also obtained majority control of the board of directors of Cronos GrowCo and began consolidating Cronos GrowCo's results from July 1, 2024. Prior to this date, the Company's investment in Cronos GrowCo consisted of an investment accounted for under the equity method and loans receivable from Cronos GrowCo.</w:t>
      </w:r>
    </w:p>
    <w:p>
      <w:pPr>
        <w:spacing w:after="0" w:line="7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the second quarter of 2023, the Company exited its United States ("U.S.") hemp-derived CBD operations. The exit of the U.S. operations represented a strategic shift, and as such, qualifies for reporting as discontinued operations in our condensed consolidated statements of net income (loss) and comprehensive income (loss). Prior period amounts have been reclassified to reflect the discontinued operations classification of the U.S. operations.</w:t>
      </w:r>
    </w:p>
    <w:p>
      <w:pPr>
        <w:spacing w:after="0" w:line="7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tables below set forth our condensed consolidated results of continuing operations, expressed in thousands of U.S. dollars for the periods presented. Our condensed consolidated financial results for these periods are not necessarily indicative of the consolidated financial results that we will achieve in future periods.</w:t>
      </w:r>
    </w:p>
    <w:tbl>
      <w:tblPr>
        <w:tblLayout w:type="fixed"/>
        <w:tblInd w:w="0" w:type="dxa"/>
        <w:tblCellMar>
          <w:top w:w="0" w:type="dxa"/>
          <w:left w:w="0" w:type="dxa"/>
          <w:bottom w:w="0" w:type="dxa"/>
          <w:right w:w="0" w:type="dxa"/>
        </w:tblCellMar>
      </w:tblPr>
      <w:tr>
        <w:trPr>
          <w:trHeight w:val="147"/>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240" w:type="dxa"/>
            <w:vAlign w:val="bottom"/>
          </w:tcPr>
          <w:p>
            <w:pPr>
              <w:spacing w:after="0"/>
              <w:rPr>
                <w:sz w:val="12"/>
                <w:szCs w:val="12"/>
                <w:color w:val="auto"/>
              </w:rPr>
            </w:pPr>
          </w:p>
        </w:tc>
        <w:tc>
          <w:tcPr>
            <w:tcW w:w="2120" w:type="dxa"/>
            <w:vAlign w:val="bottom"/>
            <w:gridSpan w:val="5"/>
          </w:tcPr>
          <w:p>
            <w:pPr>
              <w:ind w:left="20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2"/>
                <w:szCs w:val="12"/>
                <w:color w:val="auto"/>
              </w:rPr>
            </w:pPr>
          </w:p>
        </w:tc>
        <w:tc>
          <w:tcPr>
            <w:tcW w:w="11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2"/>
                <w:szCs w:val="12"/>
                <w:color w:val="auto"/>
              </w:rPr>
            </w:pPr>
          </w:p>
        </w:tc>
        <w:tc>
          <w:tcPr>
            <w:tcW w:w="11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2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Cronos net revenue, excluding</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28,195</w:t>
            </w:r>
          </w:p>
        </w:tc>
        <w:tc>
          <w:tcPr>
            <w:tcW w:w="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23,915</w:t>
            </w:r>
          </w:p>
        </w:tc>
        <w:tc>
          <w:tcPr>
            <w:tcW w:w="1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4,280</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111,241</w:t>
            </w:r>
          </w:p>
        </w:tc>
        <w:tc>
          <w:tcPr>
            <w:tcW w:w="1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87,241</w:t>
            </w:r>
          </w:p>
        </w:tc>
        <w:tc>
          <w:tcPr>
            <w:tcW w:w="14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24,000</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Cronos GrowCo net revenue</w:t>
            </w:r>
            <w:r>
              <w:rPr>
                <w:rFonts w:ascii="Times New Roman" w:cs="Times New Roman" w:eastAsia="Times New Roman" w:hAnsi="Times New Roman"/>
                <w:sz w:val="18"/>
                <w:szCs w:val="18"/>
                <w:color w:val="auto"/>
                <w:vertAlign w:val="superscript"/>
              </w:rPr>
              <w:t>(i)</w:t>
            </w: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Cronos GrowCo net revenue</w:t>
            </w:r>
            <w:r>
              <w:rPr>
                <w:rFonts w:ascii="Times New Roman" w:cs="Times New Roman" w:eastAsia="Times New Roman" w:hAnsi="Times New Roman"/>
                <w:sz w:val="18"/>
                <w:szCs w:val="18"/>
                <w:color w:val="auto"/>
                <w:vertAlign w:val="superscript"/>
              </w:rPr>
              <w:t>(ii)</w:t>
            </w:r>
          </w:p>
        </w:tc>
        <w:tc>
          <w:tcPr>
            <w:tcW w:w="24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2,106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6"/>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30,301</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23,915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6,386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117,615</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87,241</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30,374</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19,494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(2,419)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91,710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74,527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17,183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write-down</w:t>
            </w:r>
          </w:p>
        </w:tc>
        <w:tc>
          <w:tcPr>
            <w:tcW w:w="24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10,807</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25,198</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11,909</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13,289</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Gross margin</w:t>
            </w:r>
            <w:r>
              <w:rPr>
                <w:rFonts w:ascii="Times New Roman" w:cs="Times New Roman" w:eastAsia="Times New Roman" w:hAnsi="Times New Roman"/>
                <w:sz w:val="18"/>
                <w:szCs w:val="18"/>
                <w:color w:val="auto"/>
                <w:vertAlign w:val="superscript"/>
              </w:rPr>
              <w:t>(iii)</w:t>
            </w:r>
          </w:p>
        </w:tc>
        <w:tc>
          <w:tcPr>
            <w:tcW w:w="240" w:type="dxa"/>
            <w:vAlign w:val="bottom"/>
          </w:tcPr>
          <w:p>
            <w:pPr>
              <w:spacing w:after="0"/>
              <w:rPr>
                <w:sz w:val="17"/>
                <w:szCs w:val="17"/>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36 %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28 pp</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pp</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Inventory step-up recorded to cost of</w:t>
            </w:r>
          </w:p>
        </w:tc>
        <w:tc>
          <w:tcPr>
            <w:tcW w:w="24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(1,832)</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(1,832)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1"/>
                <w:szCs w:val="11"/>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5,284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5,284</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Gross Profit</w:t>
            </w:r>
            <w:r>
              <w:rPr>
                <w:rFonts w:ascii="Times New Roman" w:cs="Times New Roman" w:eastAsia="Times New Roman" w:hAnsi="Times New Roman"/>
                <w:sz w:val="18"/>
                <w:szCs w:val="18"/>
                <w:color w:val="auto"/>
                <w:vertAlign w:val="superscript"/>
              </w:rPr>
              <w:t>(iv)</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7,062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30,482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11,909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18,573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Gross Margin</w:t>
            </w:r>
            <w:r>
              <w:rPr>
                <w:rFonts w:ascii="Times New Roman" w:cs="Times New Roman" w:eastAsia="Times New Roman" w:hAnsi="Times New Roman"/>
                <w:sz w:val="18"/>
                <w:szCs w:val="18"/>
                <w:color w:val="auto"/>
                <w:vertAlign w:val="superscript"/>
              </w:rPr>
              <w:t>(v)</w:t>
            </w:r>
          </w:p>
        </w:tc>
        <w:tc>
          <w:tcPr>
            <w:tcW w:w="240" w:type="dxa"/>
            <w:vAlign w:val="bottom"/>
          </w:tcPr>
          <w:p>
            <w:pPr>
              <w:spacing w:after="0"/>
              <w:rPr>
                <w:sz w:val="17"/>
                <w:szCs w:val="17"/>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30 %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22 pp</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 pp</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43,941</w:t>
            </w:r>
          </w:p>
        </w:tc>
        <w:tc>
          <w:tcPr>
            <w:tcW w:w="16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(45,151)</w:t>
            </w:r>
          </w:p>
        </w:tc>
        <w:tc>
          <w:tcPr>
            <w:tcW w:w="1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40,022</w:t>
            </w:r>
          </w:p>
        </w:tc>
        <w:tc>
          <w:tcPr>
            <w:tcW w:w="1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(70,439)</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110,461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77"/>
        </w:trPr>
        <w:tc>
          <w:tcPr>
            <w:tcW w:w="2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(iv)</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(7,203)</w:t>
            </w:r>
          </w:p>
        </w:tc>
        <w:tc>
          <w:tcPr>
            <w:tcW w:w="16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(14,790)</w:t>
            </w:r>
          </w:p>
        </w:tc>
        <w:tc>
          <w:tcPr>
            <w:tcW w:w="16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(34,942)</w:t>
            </w:r>
          </w:p>
        </w:tc>
        <w:tc>
          <w:tcPr>
            <w:tcW w:w="16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(61,564)</w:t>
            </w:r>
          </w:p>
        </w:tc>
        <w:tc>
          <w:tcPr>
            <w:tcW w:w="1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26,622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18"/>
                <w:szCs w:val="18"/>
                <w:color w:val="auto"/>
                <w:vertAlign w:val="superscript"/>
              </w:rPr>
              <w:t>(vi)</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858,805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669,291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Short-term investments</w:t>
            </w:r>
            <w:r>
              <w:rPr>
                <w:rFonts w:ascii="Times New Roman" w:cs="Times New Roman" w:eastAsia="Times New Roman" w:hAnsi="Times New Roman"/>
                <w:sz w:val="18"/>
                <w:szCs w:val="18"/>
                <w:color w:val="auto"/>
                <w:vertAlign w:val="superscript"/>
              </w:rPr>
              <w:t>(vi)</w:t>
            </w:r>
          </w:p>
        </w:tc>
        <w:tc>
          <w:tcPr>
            <w:tcW w:w="24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192,237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(192,237)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Capital expenditures</w:t>
            </w:r>
            <w:r>
              <w:rPr>
                <w:rFonts w:ascii="Times New Roman" w:cs="Times New Roman" w:eastAsia="Times New Roman" w:hAnsi="Times New Roman"/>
                <w:sz w:val="18"/>
                <w:szCs w:val="18"/>
                <w:color w:val="auto"/>
                <w:vertAlign w:val="superscript"/>
              </w:rPr>
              <w:t>(vii)</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9,731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Cronos net revenue, excluding Cronos GrowCo net revenue is net revenue less Cronos GrowCo net revenue and is after intercompany eliminations.</w:t>
      </w:r>
    </w:p>
    <w:p>
      <w:pPr>
        <w:spacing w:after="0" w:line="22" w:lineRule="exact"/>
        <w:rPr>
          <w:rFonts w:ascii="Arial" w:cs="Arial" w:eastAsia="Arial" w:hAnsi="Arial"/>
          <w:sz w:val="11"/>
          <w:szCs w:val="11"/>
          <w:i w:val="1"/>
          <w:iCs w:val="1"/>
          <w:color w:val="auto"/>
        </w:rPr>
      </w:pPr>
    </w:p>
    <w:p>
      <w:pPr>
        <w:ind w:left="660" w:hanging="328"/>
        <w:spacing w:after="0"/>
        <w:tabs>
          <w:tab w:leader="none" w:pos="6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Cronos GrowCo net revenue is Cronos GrowCo's net revenue after intercompany eliminations.</w:t>
      </w:r>
    </w:p>
    <w:p>
      <w:pPr>
        <w:spacing w:after="0" w:line="22" w:lineRule="exact"/>
        <w:rPr>
          <w:rFonts w:ascii="Arial" w:cs="Arial" w:eastAsia="Arial" w:hAnsi="Arial"/>
          <w:sz w:val="11"/>
          <w:szCs w:val="11"/>
          <w:i w:val="1"/>
          <w:iCs w:val="1"/>
          <w:color w:val="auto"/>
        </w:rPr>
      </w:pPr>
    </w:p>
    <w:p>
      <w:pPr>
        <w:ind w:left="660" w:hanging="328"/>
        <w:spacing w:after="0"/>
        <w:tabs>
          <w:tab w:leader="none" w:pos="6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Gross margin is defined as gross profit divided by net revenue.</w:t>
      </w:r>
    </w:p>
    <w:p>
      <w:pPr>
        <w:spacing w:after="0" w:line="35" w:lineRule="exact"/>
        <w:rPr>
          <w:rFonts w:ascii="Arial" w:cs="Arial" w:eastAsia="Arial" w:hAnsi="Arial"/>
          <w:sz w:val="11"/>
          <w:szCs w:val="11"/>
          <w:i w:val="1"/>
          <w:iCs w:val="1"/>
          <w:color w:val="auto"/>
        </w:rPr>
      </w:pPr>
    </w:p>
    <w:p>
      <w:pPr>
        <w:ind w:left="660" w:hanging="328"/>
        <w:spacing w:after="0" w:line="281" w:lineRule="auto"/>
        <w:tabs>
          <w:tab w:leader="none" w:pos="648"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See "Non-GAAP Measures" for more information, including a reconciliation of adjusted earnings (loss) before interest, taxes, depreciation and amortization ("Adjusted EBITDA") to net income (loss) and a reconciliation of Adjusted Gross Profit to gross profit.</w:t>
      </w:r>
    </w:p>
    <w:p>
      <w:pPr>
        <w:ind w:left="640" w:hanging="308"/>
        <w:spacing w:after="0"/>
        <w:tabs>
          <w:tab w:leader="none" w:pos="6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Adjusted Gross Margin is defined as Adjusted Gross Profit divided by net revenue.See “Non-GAAP Measures” for more information.</w:t>
      </w:r>
    </w:p>
    <w:p>
      <w:pPr>
        <w:spacing w:after="0" w:line="22" w:lineRule="exact"/>
        <w:rPr>
          <w:rFonts w:ascii="Arial" w:cs="Arial" w:eastAsia="Arial" w:hAnsi="Arial"/>
          <w:sz w:val="11"/>
          <w:szCs w:val="11"/>
          <w:i w:val="1"/>
          <w:iCs w:val="1"/>
          <w:color w:val="auto"/>
        </w:rPr>
      </w:pPr>
    </w:p>
    <w:p>
      <w:pPr>
        <w:ind w:left="640" w:hanging="308"/>
        <w:spacing w:after="0"/>
        <w:tabs>
          <w:tab w:leader="none" w:pos="6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Dollar amounts are as of the last day of the period indicated.</w:t>
      </w:r>
    </w:p>
    <w:p>
      <w:pPr>
        <w:spacing w:after="0" w:line="22" w:lineRule="exact"/>
        <w:rPr>
          <w:rFonts w:ascii="Arial" w:cs="Arial" w:eastAsia="Arial" w:hAnsi="Arial"/>
          <w:sz w:val="11"/>
          <w:szCs w:val="11"/>
          <w:i w:val="1"/>
          <w:iCs w:val="1"/>
          <w:color w:val="auto"/>
        </w:rPr>
      </w:pPr>
    </w:p>
    <w:p>
      <w:pPr>
        <w:ind w:left="660" w:hanging="328"/>
        <w:spacing w:after="0"/>
        <w:tabs>
          <w:tab w:leader="none" w:pos="6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Capital expenditures represent component information of investing activities and is defined as the sum of purchase of property, plant and equipment, and purchase of intangible assets.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w:t>
      </w:r>
    </w:p>
    <w:p>
      <w:pPr>
        <w:spacing w:after="0" w:line="139" w:lineRule="exact"/>
        <w:rPr>
          <w:sz w:val="20"/>
          <w:szCs w:val="20"/>
          <w:color w:val="auto"/>
        </w:rPr>
      </w:pPr>
    </w:p>
    <w:p>
      <w:pPr>
        <w:ind w:left="340" w:right="20" w:hanging="332"/>
        <w:spacing w:after="0" w:line="317" w:lineRule="auto"/>
        <w:tabs>
          <w:tab w:leader="none" w:pos="335" w:val="left"/>
        </w:tabs>
        <w:numPr>
          <w:ilvl w:val="0"/>
          <w:numId w:val="4"/>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Net revenue of $30.3 million in Q4 2024 increased by $6.4 million from Q4 2023. The increase year-over-year was primarily driven by higher cannabis flower and extract sales in the Canadian market and higher cannabis flower sales</w:t>
      </w:r>
    </w:p>
    <w:p>
      <w:pPr>
        <w:sectPr>
          <w:pgSz w:w="11900" w:h="16838" w:orient="portrait"/>
          <w:cols w:equalWidth="0" w:num="1">
            <w:col w:w="11240"/>
          </w:cols>
          <w:pgMar w:left="320" w:top="912" w:right="339" w:bottom="1440" w:gutter="0" w:footer="0" w:header="0"/>
        </w:sectPr>
      </w:pPr>
    </w:p>
    <w:bookmarkStart w:id="5" w:name="page6"/>
    <w:bookmarkEnd w:id="5"/>
    <w:p>
      <w:pPr>
        <w:ind w:left="340"/>
        <w:spacing w:after="0" w:line="287" w:lineRule="auto"/>
        <w:rPr>
          <w:sz w:val="20"/>
          <w:szCs w:val="20"/>
          <w:color w:val="auto"/>
        </w:rPr>
      </w:pPr>
      <w:r>
        <w:rPr>
          <w:rFonts w:ascii="Arial" w:cs="Arial" w:eastAsia="Arial" w:hAnsi="Arial"/>
          <w:sz w:val="18"/>
          <w:szCs w:val="18"/>
          <w:color w:val="auto"/>
        </w:rPr>
        <w:t>in Israel and other countries. Cronos GrowCo contributed $2.1 million of cannabis flower sales in Q4 2024. No such sales were recognized in Q4 2023.</w:t>
      </w:r>
    </w:p>
    <w:p>
      <w:pPr>
        <w:spacing w:after="0" w:line="4" w:lineRule="exact"/>
        <w:rPr>
          <w:sz w:val="20"/>
          <w:szCs w:val="20"/>
          <w:color w:val="auto"/>
        </w:rPr>
      </w:pPr>
    </w:p>
    <w:p>
      <w:pPr>
        <w:jc w:val="both"/>
        <w:ind w:left="340" w:hanging="332"/>
        <w:spacing w:after="0" w:line="290" w:lineRule="auto"/>
        <w:tabs>
          <w:tab w:leader="none" w:pos="335" w:val="left"/>
        </w:tabs>
        <w:numPr>
          <w:ilvl w:val="0"/>
          <w:numId w:val="5"/>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Gross profit of $10.8 million in Q4 2024 increased by $8.9 million from Q4 2023. The increase year-over-year was primarily due to higher cannabis flower and extract sales in the Canadian market, higher cannabis flower sales in Israel and other countries, and production cost improvements. Gross profit was positively impacted by $1.8 million in the quarter in connection with the finalization of the purchase accounting for the Cronos GrowCo Transaction, which resulted in a reduction of the fair value of inventory acquired from Cronos GrowCo and the corresponding inventory step-up previously recorded into cost of sales in Q3 2024. No such impact was recognized for 2023.</w:t>
      </w:r>
    </w:p>
    <w:p>
      <w:pPr>
        <w:spacing w:after="0" w:line="4"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92"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gross profit of $9.0 million in Q4 2024 improved by $7.1 million from Q4 2023. The improvement year-over-year was primarily driven by higher cannabis flower and extract sales in the Canadian market, higher cannabis flower sales in Israel, and production cost improvements.</w:t>
      </w:r>
    </w:p>
    <w:p>
      <w:pPr>
        <w:ind w:left="340" w:right="340" w:hanging="332"/>
        <w:spacing w:after="0" w:line="31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$(7.2) million in Q4 2024 improved by $7.6 million from Q4 2023. The improvement year-over-year was primarily driven by higher adjusted gross profit.</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2024</w:t>
      </w:r>
    </w:p>
    <w:p>
      <w:pPr>
        <w:spacing w:after="0" w:line="139" w:lineRule="exact"/>
        <w:rPr>
          <w:sz w:val="20"/>
          <w:szCs w:val="20"/>
          <w:color w:val="auto"/>
        </w:rPr>
      </w:pPr>
    </w:p>
    <w:p>
      <w:pPr>
        <w:jc w:val="both"/>
        <w:ind w:left="340" w:hanging="332"/>
        <w:spacing w:after="0" w:line="288" w:lineRule="auto"/>
        <w:tabs>
          <w:tab w:leader="none" w:pos="335" w:val="left"/>
        </w:tabs>
        <w:numPr>
          <w:ilvl w:val="0"/>
          <w:numId w:val="6"/>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Net revenue of $117.6 million in full-year 2024 increased by $30.4 million from full-year 2023. The increase year-over-year was primarily due to higher cannabis flower and extract sales in the Canadian market and higher cannabis flower sales in Israel and other countries. Cronos GrowCo contributed $6.4 million of cannabis flower sales in the year ended December 31, 2024. No such sales were recognized for the year ended December 31, 2023.</w:t>
      </w:r>
    </w:p>
    <w:p>
      <w:pPr>
        <w:spacing w:after="0" w:line="4"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90" w:lineRule="auto"/>
        <w:tabs>
          <w:tab w:leader="none" w:pos="335" w:val="left"/>
        </w:tabs>
        <w:numPr>
          <w:ilvl w:val="0"/>
          <w:numId w:val="6"/>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Gross profit of $25.2 million in full-year 2024 increased by $13.3 million from full-year 2023. The increase year-over-year was primarily due to higher cannabis flower and extract sales in the Canadian market, higher cannabis flower sales in Israel and other countries, and production cost improvements. This increase was partially offset by the impact on cost of sales from the inventory step-up from the Cronos GrowCo Transaction. For 2024, gross profit was reduced $5.3 million as a result of the impact of the inventory step-up from the Cronos GrowCo Transaction that was recorded into cost of sales since July 1, 2024. No such costs were recognized for 2023.</w:t>
      </w:r>
    </w:p>
    <w:p>
      <w:pPr>
        <w:spacing w:after="0" w:line="4" w:lineRule="exact"/>
        <w:rPr>
          <w:rFonts w:ascii="Times New Roman" w:cs="Times New Roman" w:eastAsia="Times New Roman" w:hAnsi="Times New Roman"/>
          <w:sz w:val="18"/>
          <w:szCs w:val="18"/>
          <w:b w:val="1"/>
          <w:bCs w:val="1"/>
          <w:i w:val="1"/>
          <w:iCs w:val="1"/>
          <w:color w:val="auto"/>
        </w:rPr>
      </w:pPr>
    </w:p>
    <w:p>
      <w:pPr>
        <w:jc w:val="both"/>
        <w:ind w:left="340" w:hanging="332"/>
        <w:spacing w:after="0" w:line="29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gross profit of $30.5 million in full-year 2024 increased by $18.6 million from full-year 2023. The increase year-over-year was primarily due to higher cannabis flower and extract sales in the Canadian market, higher cannabis flower sales in Israel and other countries, and production cost improvements.</w:t>
      </w:r>
    </w:p>
    <w:p>
      <w:pPr>
        <w:spacing w:after="0" w:line="5" w:lineRule="exact"/>
        <w:rPr>
          <w:rFonts w:ascii="Arial" w:cs="Arial" w:eastAsia="Arial" w:hAnsi="Arial"/>
          <w:sz w:val="18"/>
          <w:szCs w:val="18"/>
          <w:color w:val="auto"/>
        </w:rPr>
      </w:pPr>
    </w:p>
    <w:p>
      <w:pPr>
        <w:jc w:val="both"/>
        <w:ind w:left="340" w:hanging="332"/>
        <w:spacing w:after="0" w:line="307" w:lineRule="auto"/>
        <w:tabs>
          <w:tab w:leader="none" w:pos="335" w:val="left"/>
        </w:tabs>
        <w:numPr>
          <w:ilvl w:val="0"/>
          <w:numId w:val="6"/>
        </w:numPr>
        <w:rPr>
          <w:rFonts w:ascii="Times New Roman" w:cs="Times New Roman" w:eastAsia="Times New Roman" w:hAnsi="Times New Roman"/>
          <w:sz w:val="18"/>
          <w:szCs w:val="18"/>
          <w:b w:val="1"/>
          <w:bCs w:val="1"/>
          <w:i w:val="1"/>
          <w:iCs w:val="1"/>
          <w:color w:val="auto"/>
        </w:rPr>
      </w:pPr>
      <w:r>
        <w:rPr>
          <w:rFonts w:ascii="Arial" w:cs="Arial" w:eastAsia="Arial" w:hAnsi="Arial"/>
          <w:sz w:val="18"/>
          <w:szCs w:val="18"/>
          <w:color w:val="auto"/>
        </w:rPr>
        <w:t>Adjusted EBITDA of $(34.9) million in full-year 2024 improved by $26.6 million from full-year 2023. The improvement year-over-year was primarily driven by higher adjusted gross profit and lower sales and marketing, research and development, and general administrative expenses.</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Product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Spinach</w:t>
      </w:r>
      <w:r>
        <w:rPr>
          <w:rFonts w:ascii="Arial" w:cs="Arial" w:eastAsia="Arial" w:hAnsi="Arial"/>
          <w:sz w:val="23"/>
          <w:szCs w:val="23"/>
          <w:color w:val="auto"/>
          <w:vertAlign w:val="superscript"/>
        </w:rPr>
        <w:t>®3</w:t>
      </w:r>
    </w:p>
    <w:p>
      <w:pPr>
        <w:jc w:val="both"/>
        <w:spacing w:after="0" w:line="248" w:lineRule="auto"/>
        <w:rPr>
          <w:sz w:val="20"/>
          <w:szCs w:val="20"/>
          <w:color w:val="auto"/>
        </w:rPr>
      </w:pPr>
      <w:r>
        <w:rPr>
          <w:rFonts w:ascii="Arial" w:cs="Arial" w:eastAsia="Arial" w:hAnsi="Arial"/>
          <w:sz w:val="18"/>
          <w:szCs w:val="18"/>
          <w:color w:val="auto"/>
        </w:rPr>
        <w:t>In 2024,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expanded its edible lineup with several innovative launches. Our industry-leading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best-selling gummies in the Canadian market and have captured an impressive 23% market share in Q4 2024, with five of the top ten best-selling edibles in Canada coming from the SOURZ lineup. A key addition to our gummy portfolio has been the 1-piece, 10mg THC Fully Blasted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launched in 2024. In Q4 2024 we launched two new Fully Blasted flavors, Peach Orange and Strawberry Mango. We also launched a new CBD multi-pack,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CBD Berry Variety Pack.</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2024 our proprietary genetics breeding program continued to provide our portfolio with winning cultivars that allow us to launch differentiated products across markets and maintain a number one position in the flower category. In 2024, we introduced Spinach Grindz™, a milled flower offering utilizing our Citrus Crush and Cookie Dough strains, designed for convenient use in joints or vaporizers. In Q4 2024,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maintained its position as the number one flower brand in Canada, with 5.7% market share.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2024, we introduced two new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all-in-one vapes, Pineapple Paradise and Blueberry Dynamite that are performing well and helping to drive market share gains. The brand's 0.5g all-in-one Spinach HITZ™ vapes introduced new Pink Lemonade and Rocket Icicle flavors, alongside line extensions in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1.2g vapes.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vapes were the number four vape brand in Q4 2024, holding 5.9% market share. Vape production was brought in-house in the second half of 2024 in an effort to streamline manufacturing and enhance production efficiency in this category.</w:t>
      </w:r>
    </w:p>
    <w:p>
      <w:pPr>
        <w:spacing w:after="0" w:line="2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2024, we launched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Charged pre-rolls and infused pre-rolls as well as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Charged Party Pack and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Fully Charged Tropical Pack. These launches were the culmination of our product development efforts and portfolio refresh. The infused pre-roll category is continuing to grow, and we expect this category to be key to future growth for both Cronos and the industry, which is why we are committed to the evolution and innovation of our pre-roll portfolio. In Q4 2024,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ranked seventh in the pre-roll category with 2.5% market share.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Lord Jones</w:t>
      </w:r>
      <w:r>
        <w:rPr>
          <w:rFonts w:ascii="Arial" w:cs="Arial" w:eastAsia="Arial" w:hAnsi="Arial"/>
          <w:sz w:val="23"/>
          <w:szCs w:val="23"/>
          <w:i w:val="1"/>
          <w:iCs w:val="1"/>
          <w:u w:val="single" w:color="auto"/>
          <w:color w:val="auto"/>
          <w:vertAlign w:val="superscript"/>
        </w:rPr>
        <w:t>®3</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Q4 2024,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Chocolates Fusions™ had 9.6% market share and ended the year as the third best-selling chocolate brand in Canada. In January 2025, the brand launched a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Chocolate Fusions™ fudge brownie flavor, which features a 1:1:1 ratio of CBN, CBD and THC.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Chocolate Fusions™ edibles highlight the brand’s commitment to innovation and craftsmanship, offering four flavors: cookies and cream, dazzle-berry pop, salted caramel crunch and fudge brownie.</w:t>
      </w:r>
    </w:p>
    <w:p>
      <w:pPr>
        <w:spacing w:after="0" w:line="26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2024, we also launched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live resin vapes featuring meticulously curated cultivars, delivering a rich, full-spectrum experience that combines pure live resin with sleek, high-quality hardware. In the second half of 2023, we launched Ice Water Hash Fusions pre-rolls, which feature flower and terpene-rich ice water hash and are fitted with a branded ceramic tip. The Ice Water Hash Fusions pre-rolls continued performing throughout 2024, rising to the number one position in the hash pre-roll category. Together, these launches underscore the brand’s dedication to excellence and its focus on creating exceptional, high-quality cannabis-infused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PEACE NATURALS</w:t>
      </w:r>
      <w:r>
        <w:rPr>
          <w:rFonts w:ascii="Arial" w:cs="Arial" w:eastAsia="Arial" w:hAnsi="Arial"/>
          <w:sz w:val="23"/>
          <w:szCs w:val="23"/>
          <w:i w:val="1"/>
          <w:iCs w:val="1"/>
          <w:u w:val="single" w:color="auto"/>
          <w:color w:val="auto"/>
          <w:vertAlign w:val="superscript"/>
        </w:rPr>
        <w:t>®2</w:t>
      </w:r>
    </w:p>
    <w:p>
      <w:pPr>
        <w:spacing w:after="0" w:line="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2024, Cronos Israel revamped and repositioned its flower portfolio, optimizing pricing, potency and bringing new, exciting strains to market to meet patient needs.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launched new strains including GG4, Key Limez Punch, Pink Sherb, Tangie Kush, Citra Diesel, Tahoe OG Kush and GMO Lite, providing consumers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28"/>
          <w:szCs w:val="28"/>
          <w:color w:val="auto"/>
          <w:vertAlign w:val="superscript"/>
        </w:rPr>
      </w:pPr>
      <w:r>
        <w:rPr>
          <w:rFonts w:ascii="Arial" w:cs="Arial" w:eastAsia="Arial" w:hAnsi="Arial"/>
          <w:sz w:val="14"/>
          <w:szCs w:val="14"/>
          <w:color w:val="auto"/>
        </w:rPr>
        <w:t>All market share and ranking information from Hifyre Retail Analytics - National Retail Dollar by Brand in Canada - December 2024, unless otherwise specified.</w:t>
      </w:r>
    </w:p>
    <w:p>
      <w:pPr>
        <w:sectPr>
          <w:pgSz w:w="11900" w:h="16838" w:orient="portrait"/>
          <w:cols w:equalWidth="0" w:num="1">
            <w:col w:w="11240"/>
          </w:cols>
          <w:pgMar w:left="320" w:top="885" w:right="3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8"/>
          <w:szCs w:val="18"/>
          <w:color w:val="auto"/>
        </w:rPr>
        <w:t>additional variety and choice. In Q4 2024,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the number one flower brand in Israel with 24% market share and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cannabis oils are the fourth most popular brand in Israel with 9% market share.</w:t>
      </w:r>
    </w:p>
    <w:p>
      <w:pPr>
        <w:spacing w:after="0" w:line="14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2024, Cronos expanded into the United Kingdom (the "UK") by shipping its first batch of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medical cannabis flower to this emerging market, through a partnership with a third-party distributor of prescribed cannabis products.</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2024, the Company continued its sales to the German market through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Cronos sells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through its distribution partner, Cansativa GmbH ("Cansativa"), one of the leading distributors of medical cannabis in Germany and supplies flower for its private-label brand. Cronos has seen strong demand for its proprietary genetics, such as GMO and Wedding Cake, in both Germany and the UK under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Supply Chain and Operations</w:t>
      </w:r>
    </w:p>
    <w:p>
      <w:pPr>
        <w:spacing w:after="0" w:line="27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expansion efforts at Cronos GrowCo's facility are well underway. In Q4 2024, Health Canada approved amendments to the site's perimeter. Cronos GrowCo expects to finish construction of the expanded cultivation and processing facilities in Q2 2025, with first harvests and sales from the area commencing in the second half of 2025. Prior to the commencement of sales from the expanded facility, Cronos has the option to purchase up to 80% of Cronos GrowCo's total production. Once sales from the expanded area begin, Cronos will have the option to purchase up to 70% of the total production from the expanded facility. The expansion of Cronos GrowCo positions the Company to capitalize on domestic demand and meet international growth opportunities in the global cannabis market.</w:t>
      </w:r>
    </w:p>
    <w:p>
      <w:pPr>
        <w:spacing w:after="0" w:line="19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On November 26, 2023, the Company announced that Peace Naturals Project Inc. had entered into an agreement to sell and lease back its facility in Stayner, Ontario (the "Peace Naturals Campus"). However, the agreement was terminated in the Q2 of 2024 pursuant to its terms, and the Company has decided to continue and expand its operations at the site.</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 part of the expanding operations at the Peace Naturals Campus, in the second-half of 2024, the Company invested in machinery, automation and process improvement to drive cost efficiency within the facility. This also included investment in warehousing and vault expansion as well as R&amp;D equipment and laboratory enhancements.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293"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Company achieved $8.7 million in operating expense savings in 2024 on a standalone basis, meeting its previously announced operating expense savings target of $5 to $10 million. The savings were primarily driven by lower expenses in general and administrative, research and development and sales and marketing. The operating expense savings exclude the impact of the consolidation of Cronos GrowCo's results into the Company's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88"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The Company will host a conference call and live audio webcast on Thursday, February 27, 2025, at 8:30 a.m. ET to discuss 2024 Fourth Quarter and Full-Year business results. An audio replay of the call will be archived on the Company’s website for replay. Instructions for the live audio webcast are provided on the Company's website at: </w:t>
      </w:r>
      <w:r>
        <w:rPr>
          <w:rFonts w:ascii="Arial" w:cs="Arial" w:eastAsia="Arial" w:hAnsi="Arial"/>
          <w:sz w:val="18"/>
          <w:szCs w:val="18"/>
          <w:i w:val="1"/>
          <w:iCs w:val="1"/>
          <w:color w:val="auto"/>
        </w:rPr>
        <w:t>https://ir.thecronosgroup.com/events-presentations.</w:t>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Cronos</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3"/>
          <w:szCs w:val="23"/>
          <w:color w:val="auto"/>
          <w:vertAlign w:val="superscript"/>
        </w:rPr>
        <w:t>®</w:t>
      </w:r>
      <w:r>
        <w:rPr>
          <w:rFonts w:ascii="Arial" w:cs="Arial" w:eastAsia="Arial" w:hAnsi="Arial"/>
          <w:sz w:val="18"/>
          <w:szCs w:val="18"/>
          <w:color w:val="auto"/>
        </w:rPr>
        <w:t>,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For more information about Cronos and its brands, please visit: thecronosgroup.com.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This press release contains information that constitutes forward-looking information and forward-looking statements within the meaning of applicable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36" w:lineRule="exact"/>
        <w:rPr>
          <w:sz w:val="20"/>
          <w:szCs w:val="20"/>
          <w:color w:val="auto"/>
        </w:rPr>
      </w:pPr>
    </w:p>
    <w:p>
      <w:pPr>
        <w:jc w:val="both"/>
        <w:ind w:left="660" w:hanging="328"/>
        <w:spacing w:after="0" w:line="29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impact of the public investigation into Canadian licensed producers of alleged dumping of medical cannabis imports from Canada into Israel by the Trade Levies Commissioner of the Israel Ministry of Economy and Industry (the “Anti-Dumping Investigation”) and the proposed anti-dumping duty to which the Company’s imports would be subject;</w:t>
      </w:r>
    </w:p>
    <w:p>
      <w:pPr>
        <w:jc w:val="both"/>
        <w:ind w:left="660" w:hanging="328"/>
        <w:spacing w:after="0" w:line="28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related to the conflict involving Israel, Hamas, Hezbollah, Houthis, Iran, Iran’s proxies and other stakeholders in the region (the “Middle East Conflict”) and its impact on our operations in Israel, the supply of product in the market and the demand for product by medical patients in Israel, as well as any regional or global escalations and their impact to global commerce and stability;</w:t>
      </w:r>
    </w:p>
    <w:p>
      <w:pPr>
        <w:spacing w:after="0" w:line="2" w:lineRule="exact"/>
        <w:rPr>
          <w:rFonts w:ascii="Arial" w:cs="Arial" w:eastAsia="Arial" w:hAnsi="Arial"/>
          <w:sz w:val="18"/>
          <w:szCs w:val="18"/>
          <w:color w:val="auto"/>
        </w:rPr>
      </w:pPr>
    </w:p>
    <w:p>
      <w:pPr>
        <w:jc w:val="both"/>
        <w:ind w:left="660" w:hanging="328"/>
        <w:spacing w:after="0" w:line="26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related to the German, Australian and UK markets, including our strategic partnerships with Cansativa, Vitura Health Limited (“Vitura”), and other distributors, respectively, and our ability to successfully distribute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Germany and the UK;</w:t>
      </w:r>
    </w:p>
    <w:p>
      <w:pPr>
        <w:spacing w:after="0" w:line="1"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related to our announcement of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related to the impact of our decision to exit our U.S. hemp-derived cannabinoid product operations;</w:t>
      </w:r>
    </w:p>
    <w:p>
      <w:pPr>
        <w:spacing w:after="0" w:line="4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impact of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as to the use of the Peace Naturals Campus;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acquire raw materials from suppliers, including Cronos GrowCo, and the costs and timing associated therewith;</w:t>
      </w:r>
    </w:p>
    <w:p>
      <w:pPr>
        <w:spacing w:after="0" w:line="36"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our joint ventures, strategic alliances and equity investments;</w:t>
      </w:r>
    </w:p>
    <w:p>
      <w:pPr>
        <w:spacing w:after="0" w:line="1" w:lineRule="exact"/>
        <w:rPr>
          <w:rFonts w:ascii="Arial" w:cs="Arial" w:eastAsia="Arial" w:hAnsi="Arial"/>
          <w:sz w:val="18"/>
          <w:szCs w:val="18"/>
          <w:color w:val="auto"/>
        </w:rPr>
      </w:pPr>
    </w:p>
    <w:p>
      <w:pPr>
        <w:jc w:val="both"/>
        <w:ind w:left="660" w:hanging="328"/>
        <w:spacing w:after="0" w:line="29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related to the transaction by which we obtained majority control of the board of directors of Cronos GrowCo, which qualified as a business combination under Accounting Standards Codification 805, and the expansion of Cronos GrowCo’s purpose-built cultivation and processing facilities;</w:t>
      </w:r>
    </w:p>
    <w:p>
      <w:pPr>
        <w:ind w:left="660" w:hanging="328"/>
        <w:spacing w:after="0" w:line="28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or plans to identify, develop, commercialize or expand our technology and R&amp;D initiatives in cannabinoids, or the success thereof;</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revenues, expenses, gross margins and capital expenditures;</w:t>
      </w:r>
    </w:p>
    <w:p>
      <w:pPr>
        <w:sectPr>
          <w:pgSz w:w="11900" w:h="16838" w:orient="portrait"/>
          <w:cols w:equalWidth="0" w:num="1">
            <w:col w:w="11240"/>
          </w:cols>
          <w:pgMar w:left="320" w:top="912" w:right="339" w:bottom="1440" w:gutter="0" w:footer="0" w:header="0"/>
        </w:sectPr>
      </w:pPr>
    </w:p>
    <w:bookmarkStart w:id="9" w:name="page10"/>
    <w:bookmarkEnd w:id="9"/>
    <w:p>
      <w:pPr>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spacing w:after="0" w:line="1" w:lineRule="exact"/>
        <w:rPr>
          <w:rFonts w:ascii="Arial" w:cs="Arial" w:eastAsia="Arial" w:hAnsi="Arial"/>
          <w:sz w:val="18"/>
          <w:szCs w:val="18"/>
          <w:color w:val="auto"/>
        </w:rPr>
      </w:pPr>
    </w:p>
    <w:p>
      <w:pPr>
        <w:jc w:val="both"/>
        <w:ind w:left="660" w:hanging="328"/>
        <w:spacing w:after="0" w:line="29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including the United States and Germany, the related timing and impact thereof and our intentions to participate in such markets, if and when such use is legalized;</w:t>
      </w:r>
    </w:p>
    <w:p>
      <w:pPr>
        <w:spacing w:after="0" w:line="1" w:lineRule="exact"/>
        <w:rPr>
          <w:rFonts w:ascii="Arial" w:cs="Arial" w:eastAsia="Arial" w:hAnsi="Arial"/>
          <w:sz w:val="18"/>
          <w:szCs w:val="18"/>
          <w:color w:val="auto"/>
        </w:rPr>
      </w:pPr>
    </w:p>
    <w:p>
      <w:pPr>
        <w:ind w:left="660" w:right="2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create and launch brands and cannabis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related to the differentiation of our products, including through the utilization of rare cannabinoids;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49"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Food and Drug Administration, the U.S. Drug Enforcement Administration, the U.S. Federal Trade Commission, the U.S. Patent and Trademark Office and any state equivalent regulatory agencies over cannabis and U.S. hemp (including CBD and other U.S. hemp-derived cannabinoids) products, including the possibility marijuana is moved from Schedule I to Schedule III under the U.S. Controlled Substances Act;</w:t>
      </w:r>
    </w:p>
    <w:p>
      <w:pPr>
        <w:spacing w:after="0" w:line="3" w:lineRule="exact"/>
        <w:rPr>
          <w:rFonts w:ascii="Arial" w:cs="Arial" w:eastAsia="Arial" w:hAnsi="Arial"/>
          <w:sz w:val="18"/>
          <w:szCs w:val="18"/>
          <w:color w:val="auto"/>
        </w:rPr>
      </w:pPr>
    </w:p>
    <w:p>
      <w:pPr>
        <w:ind w:left="660" w:right="2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spacing w:after="0" w:line="1" w:lineRule="exact"/>
        <w:rPr>
          <w:rFonts w:ascii="Arial" w:cs="Arial" w:eastAsia="Arial" w:hAnsi="Arial"/>
          <w:sz w:val="18"/>
          <w:szCs w:val="18"/>
          <w:color w:val="auto"/>
        </w:rPr>
      </w:pPr>
    </w:p>
    <w:p>
      <w:pPr>
        <w:jc w:val="both"/>
        <w:ind w:left="660" w:hanging="328"/>
        <w:spacing w:after="0" w:line="29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the implementation and effectiveness of key personnel changes;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business combinations and dispositions and the anticipated benefits therefrom;</w:t>
      </w:r>
    </w:p>
    <w:p>
      <w:pPr>
        <w:spacing w:after="0" w:line="49"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of the amount or frequency of impairment losses, including as a result of the write-down of intangible assets, including goodwill;</w:t>
      </w:r>
    </w:p>
    <w:p>
      <w:pPr>
        <w:spacing w:after="0" w:line="1"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spacing w:after="0" w:line="1" w:lineRule="exact"/>
        <w:rPr>
          <w:rFonts w:ascii="Arial" w:cs="Arial" w:eastAsia="Arial" w:hAnsi="Arial"/>
          <w:sz w:val="18"/>
          <w:szCs w:val="18"/>
          <w:color w:val="auto"/>
        </w:rPr>
      </w:pPr>
    </w:p>
    <w:p>
      <w:pPr>
        <w:ind w:left="660" w:hanging="328"/>
        <w:spacing w:after="0" w:line="28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the terms of the settlement (the “Settlement Order”) with the SEC and the settlement agreement with the Ontario Securities Commission (the “Settlement Agreement”); and</w:t>
      </w:r>
    </w:p>
    <w:p>
      <w:pPr>
        <w:spacing w:after="0" w:line="1"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loss of our ability to rely on private offering exemptions under Regulation D of the Securities Act of 1933, as amended, and the loss of our status as a well-known seasoned issuer, each as a result of the Settlement Order.</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13"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Forward-Looking Statements contained herein are based upon certain material assumptions that were applied in drawing a conclusion or making a forecast or projection, including: (i) our ability to effectively navigate developments related to the Anti-Dumping Investigation and the proposed anti-dumping duty to which the Company’s imports would be subject and its impact on our operations in Israel; (ii) our ability to effectively navigate developments related to the Middle East Conflict and its impact on our employees and operations in Israel, the supply of product in the market and demand</w:t>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8"/>
          <w:szCs w:val="18"/>
          <w:color w:val="auto"/>
        </w:rPr>
        <w:t>for product by medical patients in Israel; (iii) our ability to efficiently and effectively distribute our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Germany with our strategic partner Cansativa and in the UK with our strategic distribution partner and our ability to efficiently and effectively distribute products in Australia with our strategic partner Vitura; (iv) our ability to realize the expected cost-savings and other benefits related to the wind-down of our operations at our Winnipeg, Manitoba facility; (v) expectations related to the impact of our decision to exit our U.S. hemp-derived cannabinoid product operations; (vi) our ability to realize the expected cost-savings, efficiencies and other benefits of our Realignment and other announced cost-cutting measures and employee turnover related thereto; (vii) our ability to efficiently and effectively manage our operations at our Peace Naturals Campus; (viii) our ability efficiently and effectively acquire raw materials on a timely and cost-effective basis from third parties or Cronos GrowCo; (ix) the timely completion of the expansion of Cronos GrowCo’s purpose-built cannabis facility and the ability of Cronos GrowCo to repay the credit facility provided by Cronos; (x) our ability to realize anticipated benefits, synergies or generate revenue, profits or value from our business combinations and strategic investments; (xi) the production and manufacturing capabilities and output from our facilities and our joint ventures, strategic alliances and equity investments; (xii) government regulation of our activities and products including, but not limited to, the areas of cannabis taxation and environmental protection; (xiii) the timely receipt of any required regulatory authorizations, approvals, consents, permits and/or licenses; (xiv) consumer interest in our products; (xv) our ability to differentiate our products, including through the utilization of rare cannabinoids; (xvi) competition; (xvii) anticipated and unanticipated costs;</w:t>
      </w:r>
    </w:p>
    <w:p>
      <w:pPr>
        <w:spacing w:after="0" w:line="1" w:lineRule="exact"/>
        <w:rPr>
          <w:sz w:val="20"/>
          <w:szCs w:val="20"/>
          <w:color w:val="auto"/>
        </w:rPr>
      </w:pPr>
    </w:p>
    <w:p>
      <w:pPr>
        <w:jc w:val="both"/>
        <w:ind w:firstLine="8"/>
        <w:spacing w:after="0" w:line="293" w:lineRule="auto"/>
        <w:tabs>
          <w:tab w:leader="none" w:pos="4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(xix) our ability to conduct operations in a safe, efficient and effective manner; (xx) our ability to hire and retain qualified staff, and acquire equipment and services in a timely and cost-efficient manner; (xxi) our ability to exercise the PharmaCann Option and realize the anticipated benefits of the transaction with PharmaCann;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press release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Investigation, including that we may not be able to produce, import or sell our products in Israel as a result thereof; negative impacts on our employees, business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that we may not be able to successfully continue to distribute our products in Germany, Australia and the UK or generate material revenue from sales in those markets; that we may not be able to achieve the anticipated benefits of the wind-down of our operations at our Winnipeg, Manitoba facility; that we may be unable to further streamline our operations and reduce expenses; that we may not be able to effectively and efficiently re-enter the U.S. market in the future; that we may not be able to access raw materials on a timely and cost-effective basis from third-parties or Cronos GrowCo; that Cronos GrowCo may not be able to complete the expansion of its purpose-built cannabis facility within a reasonable time or repay its borrowings under the credit facility provided by Cronos; that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our products; our inability to manage disruptions in credit markets;</w:t>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8"/>
          <w:szCs w:val="18"/>
          <w:color w:val="auto"/>
        </w:rPr>
        <w:t>unanticipated future levels of capital, environmental or maintenance expenditures, general and administrative and other expenses; failure to realize expected growth opportunities;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realize the anticipated benefits of the transaction with PharmaCann; dilution of our fully-diluted ownership of PharmaCann and the loss of our rights as a result of that dilution; our failure to improve our internal control environment and our systems, processes and procedures; and the factors discussed under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2024. Readers are cautioned to consider these and other factors, uncertainties and potential events carefully and not to put undue reliance on Forward-Looking Statements.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ectPr>
          <w:pgSz w:w="11900" w:h="16838" w:orient="portrait"/>
          <w:cols w:equalWidth="0" w:num="1">
            <w:col w:w="11240"/>
          </w:cols>
          <w:pgMar w:left="320" w:top="904"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0" w:type="dxa"/>
            <w:vAlign w:val="bottom"/>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858,805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669,291</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14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192,237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15,462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13,984</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receivable</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8,690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loans receivable, net</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618</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net</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33,149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30,495</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6,277</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Held-for-sale assets</w:t>
            </w:r>
          </w:p>
        </w:tc>
        <w:tc>
          <w:tcPr>
            <w:tcW w:w="1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8,112</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936,113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933,306</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investments, net</w:t>
            </w:r>
          </w:p>
        </w:tc>
        <w:tc>
          <w:tcPr>
            <w:tcW w:w="1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of loans receivable, net</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69,036</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133,189</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59,468</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63,453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2,571</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1,166,312</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1,140,266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0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16,973</w:t>
            </w:r>
          </w:p>
        </w:tc>
        <w:tc>
          <w:tcPr>
            <w:tcW w:w="16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31,653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27,736</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lease obligation</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due to non-controlling interests</w:t>
            </w:r>
          </w:p>
        </w:tc>
        <w:tc>
          <w:tcPr>
            <w:tcW w:w="1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89"/>
        </w:trPr>
        <w:tc>
          <w:tcPr>
            <w:tcW w:w="6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49,700</w:t>
            </w: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41,399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portion due to non-controlling interests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portion of lease obligation</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3,564</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9"/>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capital and additional paid-in capital</w:t>
            </w:r>
          </w:p>
        </w:tc>
        <w:tc>
          <w:tcPr>
            <w:tcW w:w="1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669,879</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662,174</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457,709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416,719</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(63,525)</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20,678</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equity attributable to shareholders of Cronos Group</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1,064,063</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1,099,571</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46,919</w:t>
            </w: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1,110,982</w:t>
            </w:r>
          </w:p>
        </w:tc>
        <w:tc>
          <w:tcPr>
            <w:tcW w:w="1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1,096,124</w:t>
            </w:r>
          </w:p>
        </w:tc>
        <w:tc>
          <w:tcPr>
            <w:tcW w:w="0" w:type="dxa"/>
            <w:vAlign w:val="bottom"/>
          </w:tcPr>
          <w:p>
            <w:pPr>
              <w:spacing w:after="0"/>
              <w:rPr>
                <w:sz w:val="1"/>
                <w:szCs w:val="1"/>
                <w:color w:val="auto"/>
              </w:rPr>
            </w:pPr>
          </w:p>
        </w:tc>
      </w:tr>
      <w:tr>
        <w:trPr>
          <w:trHeight w:val="190"/>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400" w:type="dxa"/>
            <w:vAlign w:val="bottom"/>
            <w:tcBorders>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1,166,312</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1,140,266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4"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Net Income (Loss) and Comprehensive Income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 before excise taxes</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161,821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109,301</w:t>
            </w:r>
          </w:p>
        </w:tc>
      </w:tr>
      <w:tr>
        <w:trPr>
          <w:trHeight w:val="196"/>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Excise taxes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(22,552)</w:t>
            </w: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86,749</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71,313</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write-down</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15,436</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13,131</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67,674</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5,967</w:t>
            </w:r>
          </w:p>
        </w:tc>
      </w:tr>
      <w:tr>
        <w:trPr>
          <w:trHeight w:val="196"/>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Impairment loss on long-lived assets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w:t>
            </w:r>
          </w:p>
        </w:tc>
      </w:tr>
      <w:tr>
        <w:trPr>
          <w:trHeight w:val="203"/>
        </w:trPr>
        <w:tc>
          <w:tcPr>
            <w:tcW w:w="6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101,727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96,709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126,864</w:t>
            </w:r>
          </w:p>
        </w:tc>
      </w:tr>
      <w:tr>
        <w:trPr>
          <w:trHeight w:val="189"/>
        </w:trPr>
        <w:tc>
          <w:tcPr>
            <w:tcW w:w="6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(111,428)</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22,514</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revaluation of derivative 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of income from equity method investments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revaluation of loan receivable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revaluation of equity method investment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revaluation of financial instruments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14,739</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 on other investments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(61,392)</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 (loss)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held-for-sale assets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9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113,115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(9,575)</w:t>
            </w:r>
          </w:p>
        </w:tc>
      </w:tr>
      <w:tr>
        <w:trPr>
          <w:trHeight w:val="203"/>
        </w:trPr>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(121,003)</w:t>
            </w:r>
          </w:p>
        </w:tc>
      </w:tr>
      <w:tr>
        <w:trPr>
          <w:trHeight w:val="196"/>
        </w:trPr>
        <w:tc>
          <w:tcPr>
            <w:tcW w:w="6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34,175</w:t>
            </w:r>
          </w:p>
        </w:tc>
      </w:tr>
      <w:tr>
        <w:trPr>
          <w:trHeight w:val="203"/>
        </w:trPr>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(155,178)</w:t>
            </w:r>
          </w:p>
        </w:tc>
      </w:tr>
      <w:tr>
        <w:trPr>
          <w:trHeight w:val="196"/>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(13,556)</w:t>
            </w:r>
          </w:p>
        </w:tc>
      </w:tr>
      <w:tr>
        <w:trPr>
          <w:trHeight w:val="20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(168,734)</w:t>
            </w:r>
          </w:p>
        </w:tc>
      </w:tr>
      <w:tr>
        <w:trPr>
          <w:trHeight w:val="190"/>
        </w:trPr>
        <w:tc>
          <w:tcPr>
            <w:tcW w:w="6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Cronos Group</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(168,734)</w:t>
            </w:r>
          </w:p>
        </w:tc>
      </w:tr>
    </w:tbl>
    <w:p>
      <w:pPr>
        <w:sectPr>
          <w:pgSz w:w="11900" w:h="16838" w:orient="portrait"/>
          <w:cols w:equalWidth="0" w:num="1">
            <w:col w:w="11240"/>
          </w:cols>
          <w:pgMar w:left="320" w:top="119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(74,553)</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(168,734)</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6"/>
        </w:trPr>
        <w:tc>
          <w:tcPr>
            <w:tcW w:w="6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Foreign exchange gain (loss) on translation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(50,616)</w:t>
            </w:r>
          </w:p>
        </w:tc>
      </w:tr>
      <w:tr>
        <w:trPr>
          <w:trHeight w:val="203"/>
        </w:trPr>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(219,350)</w:t>
            </w:r>
          </w:p>
        </w:tc>
      </w:tr>
      <w:tr>
        <w:trPr>
          <w:trHeight w:val="196"/>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21"/>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 (loss) attributable to Cronos Group</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(219,396)</w:t>
            </w:r>
          </w:p>
        </w:tc>
      </w:tr>
      <w:tr>
        <w:trPr>
          <w:trHeight w:val="24"/>
        </w:trPr>
        <w:tc>
          <w:tcPr>
            <w:tcW w:w="680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10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6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r>
      <w:tr>
        <w:trPr>
          <w:trHeight w:val="20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190"/>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net income (loss) per share attributable to Cronos Group</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6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189"/>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net income (loss) per share attributable to Cronos Group</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21"/>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outstanding shares</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6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382,058,056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380,964,739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376,961,797</w:t>
            </w:r>
          </w:p>
        </w:tc>
      </w:tr>
      <w:tr>
        <w:trPr>
          <w:trHeight w:val="21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385,557,002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380,964,739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376,961,797</w:t>
            </w:r>
          </w:p>
        </w:tc>
      </w:tr>
    </w:tbl>
    <w:p>
      <w:pPr>
        <w:sectPr>
          <w:pgSz w:w="11900" w:h="16838" w:orient="portrait"/>
          <w:cols w:equalWidth="0" w:num="1">
            <w:col w:w="11240"/>
          </w:cols>
          <w:pgMar w:left="320" w:top="104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8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 before excise taxes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34,006</w:t>
            </w:r>
          </w:p>
        </w:tc>
      </w:tr>
      <w:tr>
        <w:trPr>
          <w:trHeight w:val="196"/>
        </w:trPr>
        <w:tc>
          <w:tcPr>
            <w:tcW w:w="8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Excise taxes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(10,091)</w:t>
            </w:r>
          </w:p>
        </w:tc>
      </w:tr>
      <w:tr>
        <w:trPr>
          <w:trHeight w:val="20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23,915</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21,913</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write-down</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10,807</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9,802</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r>
      <w:tr>
        <w:trPr>
          <w:trHeight w:val="196"/>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 on long-lived assets</w:t>
            </w:r>
          </w:p>
        </w:tc>
        <w:tc>
          <w:tcPr>
            <w:tcW w:w="8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w:t>
            </w:r>
          </w:p>
        </w:tc>
      </w:tr>
      <w:tr>
        <w:trPr>
          <w:trHeight w:val="203"/>
        </w:trPr>
        <w:tc>
          <w:tcPr>
            <w:tcW w:w="83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23,549</w:t>
            </w:r>
          </w:p>
        </w:tc>
      </w:tr>
      <w:tr>
        <w:trPr>
          <w:trHeight w:val="189"/>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loss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(21,636)</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14,214</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revaluation of derivative 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of income from equity method investments</w:t>
            </w:r>
          </w:p>
        </w:tc>
        <w:tc>
          <w:tcPr>
            <w:tcW w:w="8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revaluation of financial instruments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 on other investments</w:t>
            </w:r>
          </w:p>
        </w:tc>
        <w:tc>
          <w:tcPr>
            <w:tcW w:w="8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 (loss)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w:t>
            </w: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held-for-sale assets</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9"/>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57,310</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(23,875)</w:t>
            </w:r>
          </w:p>
        </w:tc>
      </w:tr>
      <w:tr>
        <w:trPr>
          <w:trHeight w:val="203"/>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(45,511)</w:t>
            </w:r>
          </w:p>
        </w:tc>
      </w:tr>
      <w:tr>
        <w:trPr>
          <w:trHeight w:val="196"/>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03"/>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(45,151)</w:t>
            </w:r>
          </w:p>
        </w:tc>
      </w:tr>
      <w:tr>
        <w:trPr>
          <w:trHeight w:val="196"/>
        </w:trPr>
        <w:tc>
          <w:tcPr>
            <w:tcW w:w="8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8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3"/>
        </w:trPr>
        <w:tc>
          <w:tcPr>
            <w:tcW w:w="8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(45,027)</w:t>
            </w:r>
          </w:p>
        </w:tc>
      </w:tr>
      <w:tr>
        <w:trPr>
          <w:trHeight w:val="196"/>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Cronos Group</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(44,790)</w:t>
            </w:r>
          </w:p>
        </w:tc>
      </w:tr>
    </w:tbl>
    <w:p>
      <w:pPr>
        <w:sectPr>
          <w:pgSz w:w="11900" w:h="16838" w:orient="portrait"/>
          <w:cols w:equalWidth="0" w:num="1">
            <w:col w:w="11240"/>
          </w:cols>
          <w:pgMar w:left="320" w:top="97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(45,027)</w:t>
            </w:r>
          </w:p>
        </w:tc>
        <w:tc>
          <w:tcPr>
            <w:tcW w:w="0" w:type="dxa"/>
            <w:vAlign w:val="bottom"/>
          </w:tcPr>
          <w:p>
            <w:pPr>
              <w:spacing w:after="0"/>
              <w:rPr>
                <w:sz w:val="1"/>
                <w:szCs w:val="1"/>
                <w:color w:val="auto"/>
              </w:rPr>
            </w:pPr>
          </w:p>
        </w:tc>
      </w:tr>
      <w:tr>
        <w:trPr>
          <w:trHeight w:val="195"/>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exchange gain (loss) on translation</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22,635</w:t>
            </w:r>
          </w:p>
        </w:tc>
        <w:tc>
          <w:tcPr>
            <w:tcW w:w="0" w:type="dxa"/>
            <w:vAlign w:val="bottom"/>
          </w:tcPr>
          <w:p>
            <w:pPr>
              <w:spacing w:after="0"/>
              <w:rPr>
                <w:sz w:val="1"/>
                <w:szCs w:val="1"/>
                <w:color w:val="auto"/>
              </w:rPr>
            </w:pPr>
          </w:p>
        </w:tc>
      </w:tr>
      <w:tr>
        <w:trPr>
          <w:trHeight w:val="189"/>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0"/>
        </w:trPr>
        <w:tc>
          <w:tcPr>
            <w:tcW w:w="8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Cronos Group</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(19,435)</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83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6"/>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8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net income (loss) per share attributable to Cronos Group</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6"/>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8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net income (loss) per share attributable to Cronos Group</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outstanding shares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382,340,893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381,155,824</w:t>
            </w:r>
          </w:p>
        </w:tc>
        <w:tc>
          <w:tcPr>
            <w:tcW w:w="0" w:type="dxa"/>
            <w:vAlign w:val="bottom"/>
          </w:tcPr>
          <w:p>
            <w:pPr>
              <w:spacing w:after="0"/>
              <w:rPr>
                <w:sz w:val="1"/>
                <w:szCs w:val="1"/>
                <w:color w:val="auto"/>
              </w:rPr>
            </w:pPr>
          </w:p>
        </w:tc>
      </w:tr>
      <w:tr>
        <w:trPr>
          <w:trHeight w:val="188"/>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386,525,110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381,155,824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79"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40,022</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(74,553)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(168,734)</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13,122</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 on long-lived assets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loss on other investments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61,392</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(income) from investments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(gain) on revaluation of derivative liabilities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(14,060)</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expected credit losses on long-term financial assets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Revaluation of equity method investment</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Revaluation of loan receivable</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held-for-sale assets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step-up recorded to cost of sales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(gain) loss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r>
      <w:tr>
        <w:trPr>
          <w:trHeight w:val="210"/>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6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r>
      <w:tr>
        <w:trPr>
          <w:trHeight w:val="210"/>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receivable</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w:t>
            </w:r>
          </w:p>
        </w:tc>
      </w:tr>
      <w:tr>
        <w:trPr>
          <w:trHeight w:val="195"/>
        </w:trPr>
        <w:tc>
          <w:tcPr>
            <w:tcW w:w="6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receivables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r>
      <w:tr>
        <w:trPr>
          <w:trHeight w:val="210"/>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195"/>
        </w:trPr>
        <w:tc>
          <w:tcPr>
            <w:tcW w:w="60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Inventory, net</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(7,217)</w:t>
            </w:r>
          </w:p>
        </w:tc>
      </w:tr>
      <w:tr>
        <w:trPr>
          <w:trHeight w:val="210"/>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r>
      <w:tr>
        <w:trPr>
          <w:trHeight w:val="195"/>
        </w:trPr>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34,212</w:t>
            </w:r>
          </w:p>
        </w:tc>
      </w:tr>
      <w:tr>
        <w:trPr>
          <w:trHeight w:val="21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r>
      <w:tr>
        <w:trPr>
          <w:trHeight w:val="189"/>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(88,948)</w:t>
            </w:r>
          </w:p>
        </w:tc>
      </w:tr>
      <w:tr>
        <w:trPr>
          <w:trHeight w:val="277"/>
        </w:trPr>
        <w:tc>
          <w:tcPr>
            <w:tcW w:w="60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19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short-term investments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268,870</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10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(271,378)</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acquired in business combination</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received from equity method investee</w:t>
            </w:r>
          </w:p>
        </w:tc>
        <w:tc>
          <w:tcPr>
            <w:tcW w:w="10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proceeds</w:t>
            </w: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Advances on loans receivable</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on loans receivable</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r>
      <w:tr>
        <w:trPr>
          <w:trHeight w:val="195"/>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 net of disposals</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 net of disposals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196"/>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0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3"/>
        </w:trPr>
        <w:tc>
          <w:tcPr>
            <w:tcW w:w="60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175,149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(59,499)</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w:t>
            </w:r>
          </w:p>
        </w:tc>
      </w:tr>
    </w:tbl>
    <w:p>
      <w:pPr>
        <w:sectPr>
          <w:pgSz w:w="11900" w:h="16838" w:orient="portrait"/>
          <w:cols w:equalWidth="0" w:num="1">
            <w:col w:w="11240"/>
          </w:cols>
          <w:pgMar w:left="320" w:top="94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6"/>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2"/>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 paid on equity awards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w:t>
            </w:r>
          </w:p>
        </w:tc>
      </w:tr>
      <w:tr>
        <w:trPr>
          <w:trHeight w:val="196"/>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10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3"/>
        </w:trPr>
        <w:tc>
          <w:tcPr>
            <w:tcW w:w="6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19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(28,642)</w:t>
            </w: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(122,329)</w:t>
            </w:r>
          </w:p>
        </w:tc>
      </w:tr>
      <w:tr>
        <w:trPr>
          <w:trHeight w:val="19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669,291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764,644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886,973</w:t>
            </w:r>
          </w:p>
        </w:tc>
      </w:tr>
      <w:tr>
        <w:trPr>
          <w:trHeight w:val="221"/>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858,805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669,291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764,644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5"/>
        </w:trPr>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10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received</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15,548</w:t>
            </w:r>
          </w:p>
        </w:tc>
      </w:tr>
      <w:tr>
        <w:trPr>
          <w:trHeight w:val="188"/>
        </w:trPr>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w:t>
            </w: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bl>
    <w:p>
      <w:pPr>
        <w:sectPr>
          <w:pgSz w:w="11900" w:h="16838" w:orient="portrait"/>
          <w:cols w:equalWidth="0" w:num="1">
            <w:col w:w="11240"/>
          </w:cols>
          <w:pgMar w:left="320" w:top="9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Non-GAAP Measures</w:t>
      </w:r>
    </w:p>
    <w:p>
      <w:pPr>
        <w:spacing w:after="0" w:line="29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Cronos reports its financial results in accordance with Generally Accepted Accounting Principles in the United States (“U.S. GAAP”). This press release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press release are reconciled to their closest reported U.S. GAAP measure. Reconciliations of historical adjusted financial measures to corresponding U.S. GAAP measures are provided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loss; other, net; loss from discontinued operations; restructuring costs; inventory write-downs resulting from restructuring actions; share-based compensation; costs related to the Anti-Dumping Investigation; purchase accounting adjustment-related inventory step-up adjustments recorded through cost of sales; and financial statement review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12(b) “Contingencies,” to the consolidated financial statements under Item 8 of the Company's Annual Report on Form 10-K for the year ended December 31, 2024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to net income (loss) as follows:</w:t>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6"/>
                <w:szCs w:val="16"/>
                <w:color w:val="auto"/>
              </w:rPr>
            </w:pPr>
          </w:p>
        </w:tc>
        <w:tc>
          <w:tcPr>
            <w:tcW w:w="354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40,022</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(52,019)</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r>
      <w:tr>
        <w:trPr>
          <w:trHeight w:val="196"/>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9,336</w:t>
            </w:r>
          </w:p>
        </w:tc>
      </w:tr>
      <w:tr>
        <w:trPr>
          <w:trHeight w:val="203"/>
        </w:trPr>
        <w:tc>
          <w:tcPr>
            <w:tcW w:w="6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 of income from equity method investments</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 on long-lived assets</w:t>
            </w:r>
            <w:r>
              <w:rPr>
                <w:rFonts w:ascii="Times New Roman" w:cs="Times New Roman" w:eastAsia="Times New Roman" w:hAnsi="Times New Roman"/>
                <w:sz w:val="9"/>
                <w:szCs w:val="9"/>
                <w:color w:val="auto"/>
              </w:rPr>
              <w:t>(i)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w:t>
            </w:r>
          </w:p>
        </w:tc>
      </w:tr>
      <w:tr>
        <w:trPr>
          <w:trHeight w:val="19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Revaluation gain on loan receivable</w:t>
            </w:r>
            <w:r>
              <w:rPr>
                <w:rFonts w:ascii="Times New Roman" w:cs="Times New Roman" w:eastAsia="Times New Roman" w:hAnsi="Times New Roman"/>
                <w:sz w:val="9"/>
                <w:szCs w:val="9"/>
                <w:color w:val="auto"/>
              </w:rPr>
              <w:t>(ii)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(11,804)</w:t>
            </w:r>
          </w:p>
        </w:tc>
      </w:tr>
      <w:tr>
        <w:trPr>
          <w:trHeight w:val="20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revaluation of equity method investment</w:t>
            </w:r>
            <w:r>
              <w:rPr>
                <w:rFonts w:ascii="Times New Roman" w:cs="Times New Roman" w:eastAsia="Times New Roman" w:hAnsi="Times New Roman"/>
                <w:sz w:val="9"/>
                <w:szCs w:val="9"/>
                <w:color w:val="auto"/>
              </w:rPr>
              <w:t>(iii)</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(32,469)</w:t>
            </w:r>
          </w:p>
        </w:tc>
      </w:tr>
      <w:tr>
        <w:trPr>
          <w:trHeight w:val="19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revaluation of derivative liabilities</w:t>
            </w:r>
            <w:r>
              <w:rPr>
                <w:rFonts w:ascii="Times New Roman" w:cs="Times New Roman" w:eastAsia="Times New Roman" w:hAnsi="Times New Roman"/>
                <w:sz w:val="9"/>
                <w:szCs w:val="9"/>
                <w:color w:val="auto"/>
              </w:rPr>
              <w:t>(iv)</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revaluation of financial instruments</w:t>
            </w:r>
            <w:r>
              <w:rPr>
                <w:rFonts w:ascii="Times New Roman" w:cs="Times New Roman" w:eastAsia="Times New Roman" w:hAnsi="Times New Roman"/>
                <w:sz w:val="9"/>
                <w:szCs w:val="9"/>
                <w:color w:val="auto"/>
              </w:rPr>
              <w:t>(v)</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w:t>
            </w:r>
          </w:p>
        </w:tc>
      </w:tr>
      <w:tr>
        <w:trPr>
          <w:trHeight w:val="19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loss on other investments</w:t>
            </w:r>
            <w:r>
              <w:rPr>
                <w:rFonts w:ascii="Times New Roman" w:cs="Times New Roman" w:eastAsia="Times New Roman" w:hAnsi="Times New Roman"/>
                <w:sz w:val="9"/>
                <w:szCs w:val="9"/>
                <w:color w:val="auto"/>
              </w:rPr>
              <w:t>(vi)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25,650</w:t>
            </w:r>
          </w:p>
        </w:tc>
      </w:tr>
      <w:tr>
        <w:trPr>
          <w:trHeight w:val="20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gain</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(57,859)</w:t>
            </w:r>
          </w:p>
        </w:tc>
      </w:tr>
      <w:tr>
        <w:trPr>
          <w:trHeight w:val="19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9"/>
                <w:szCs w:val="9"/>
                <w:color w:val="auto"/>
              </w:rPr>
              <w:t>(vii)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20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held-for-sale assets</w:t>
            </w:r>
            <w:r>
              <w:rPr>
                <w:rFonts w:ascii="Times New Roman" w:cs="Times New Roman" w:eastAsia="Times New Roman" w:hAnsi="Times New Roman"/>
                <w:sz w:val="9"/>
                <w:szCs w:val="9"/>
                <w:color w:val="auto"/>
              </w:rPr>
              <w:t>(viii)</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w:t>
            </w:r>
          </w:p>
        </w:tc>
      </w:tr>
      <w:tr>
        <w:trPr>
          <w:trHeight w:val="19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9"/>
                <w:szCs w:val="9"/>
                <w:color w:val="auto"/>
              </w:rPr>
              <w:t>(ix)</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ind w:left="1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07"/>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9"/>
                <w:szCs w:val="9"/>
                <w:color w:val="auto"/>
              </w:rPr>
              <w:t>(x)</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9"/>
                <w:szCs w:val="9"/>
                <w:color w:val="auto"/>
              </w:rPr>
              <w:t>(xi)</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statement review costs</w:t>
            </w:r>
            <w:r>
              <w:rPr>
                <w:rFonts w:ascii="Times New Roman" w:cs="Times New Roman" w:eastAsia="Times New Roman" w:hAnsi="Times New Roman"/>
                <w:sz w:val="9"/>
                <w:szCs w:val="9"/>
                <w:color w:val="auto"/>
              </w:rPr>
              <w:t>(xii)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Inventory step-up recorded to cost of sales</w:t>
            </w:r>
            <w:r>
              <w:rPr>
                <w:rFonts w:ascii="Times New Roman" w:cs="Times New Roman" w:eastAsia="Times New Roman" w:hAnsi="Times New Roman"/>
                <w:sz w:val="9"/>
                <w:szCs w:val="9"/>
                <w:color w:val="auto"/>
              </w:rPr>
              <w:t>(xiv)</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Israel Ministry of Economy and Industry dumping inquiry</w:t>
            </w:r>
            <w:r>
              <w:rPr>
                <w:rFonts w:ascii="Times New Roman" w:cs="Times New Roman" w:eastAsia="Times New Roman" w:hAnsi="Times New Roman"/>
                <w:sz w:val="9"/>
                <w:szCs w:val="9"/>
                <w:color w:val="auto"/>
              </w:rPr>
              <w:t>(xv)</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89"/>
        </w:trPr>
        <w:tc>
          <w:tcPr>
            <w:tcW w:w="6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(34,942)</w:t>
            </w:r>
          </w:p>
        </w:tc>
      </w:tr>
      <w:tr>
        <w:trPr>
          <w:trHeight w:val="27"/>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6"/>
                <w:szCs w:val="16"/>
                <w:color w:val="auto"/>
              </w:rPr>
            </w:pPr>
          </w:p>
        </w:tc>
        <w:tc>
          <w:tcPr>
            <w:tcW w:w="3540" w:type="dxa"/>
            <w:vAlign w:val="bottom"/>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28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(70,439)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(74,553)</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(51,245)</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r>
      <w:tr>
        <w:trPr>
          <w:trHeight w:val="196"/>
        </w:trPr>
        <w:tc>
          <w:tcPr>
            <w:tcW w:w="6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8,110</w:t>
            </w:r>
          </w:p>
        </w:tc>
      </w:tr>
      <w:tr>
        <w:trPr>
          <w:trHeight w:val="203"/>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(120,918)</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 of income from equity method investments</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 on long-lived assets</w:t>
            </w:r>
            <w:r>
              <w:rPr>
                <w:rFonts w:ascii="Times New Roman" w:cs="Times New Roman" w:eastAsia="Times New Roman" w:hAnsi="Times New Roman"/>
                <w:sz w:val="18"/>
                <w:szCs w:val="18"/>
                <w:color w:val="auto"/>
                <w:vertAlign w:val="superscript"/>
              </w:rPr>
              <w:t>(i)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Loss on revaluation of derivative liabilities</w:t>
            </w:r>
            <w:r>
              <w:rPr>
                <w:rFonts w:ascii="Times New Roman" w:cs="Times New Roman" w:eastAsia="Times New Roman" w:hAnsi="Times New Roman"/>
                <w:sz w:val="18"/>
                <w:szCs w:val="18"/>
                <w:color w:val="auto"/>
                <w:vertAlign w:val="superscript"/>
              </w:rPr>
              <w:t>(iv)</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Loss on revaluation of financial instruments</w:t>
            </w:r>
            <w:r>
              <w:rPr>
                <w:rFonts w:ascii="Times New Roman" w:cs="Times New Roman" w:eastAsia="Times New Roman" w:hAnsi="Times New Roman"/>
                <w:sz w:val="18"/>
                <w:szCs w:val="18"/>
                <w:color w:val="auto"/>
                <w:vertAlign w:val="superscript"/>
              </w:rPr>
              <w:t>(v)</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12,042</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Impairment loss on other investments</w:t>
            </w:r>
            <w:r>
              <w:rPr>
                <w:rFonts w:ascii="Times New Roman" w:cs="Times New Roman" w:eastAsia="Times New Roman" w:hAnsi="Times New Roman"/>
                <w:sz w:val="18"/>
                <w:szCs w:val="18"/>
                <w:color w:val="auto"/>
                <w:vertAlign w:val="superscript"/>
              </w:rPr>
              <w:t>(vi)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r>
      <w:tr>
        <w:trPr>
          <w:trHeight w:val="203"/>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loss</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18"/>
                <w:szCs w:val="18"/>
                <w:color w:val="auto"/>
                <w:vertAlign w:val="superscript"/>
              </w:rPr>
              <w:t>(ix)</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(x)</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18"/>
                <w:szCs w:val="18"/>
                <w:color w:val="auto"/>
                <w:vertAlign w:val="superscript"/>
              </w:rPr>
              <w:t>(xi)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Financial statement review costs</w:t>
            </w:r>
            <w:r>
              <w:rPr>
                <w:rFonts w:ascii="Times New Roman" w:cs="Times New Roman" w:eastAsia="Times New Roman" w:hAnsi="Times New Roman"/>
                <w:sz w:val="18"/>
                <w:szCs w:val="18"/>
                <w:color w:val="auto"/>
                <w:vertAlign w:val="superscript"/>
              </w:rPr>
              <w:t>(xii)</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r>
      <w:tr>
        <w:trPr>
          <w:trHeight w:val="203"/>
        </w:trPr>
        <w:tc>
          <w:tcPr>
            <w:tcW w:w="6320" w:type="dxa"/>
            <w:vAlign w:val="bottom"/>
            <w:tcBorders>
              <w:bottom w:val="single" w:sz="8" w:color="CCEEFF"/>
            </w:tcBorders>
          </w:tcPr>
          <w:p>
            <w:pPr>
              <w:ind w:left="340"/>
              <w:spacing w:after="0" w:line="202" w:lineRule="exact"/>
              <w:rPr>
                <w:sz w:val="20"/>
                <w:szCs w:val="20"/>
                <w:color w:val="auto"/>
              </w:rPr>
            </w:pPr>
            <w:r>
              <w:rPr>
                <w:rFonts w:ascii="Times New Roman" w:cs="Times New Roman" w:eastAsia="Times New Roman" w:hAnsi="Times New Roman"/>
                <w:sz w:val="14"/>
                <w:szCs w:val="14"/>
                <w:color w:val="auto"/>
              </w:rPr>
              <w:t>Inventory write-down</w:t>
            </w:r>
            <w:r>
              <w:rPr>
                <w:rFonts w:ascii="Times New Roman" w:cs="Times New Roman" w:eastAsia="Times New Roman" w:hAnsi="Times New Roman"/>
                <w:sz w:val="18"/>
                <w:szCs w:val="18"/>
                <w:color w:val="auto"/>
                <w:vertAlign w:val="superscript"/>
              </w:rPr>
              <w:t>(xiii)</w:t>
            </w: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w:t>
            </w:r>
          </w:p>
        </w:tc>
      </w:tr>
      <w:tr>
        <w:trPr>
          <w:trHeight w:val="215"/>
        </w:trPr>
        <w:tc>
          <w:tcPr>
            <w:tcW w:w="6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6"/>
                <w:szCs w:val="16"/>
                <w:color w:val="auto"/>
              </w:rPr>
            </w:pPr>
          </w:p>
        </w:tc>
        <w:tc>
          <w:tcPr>
            <w:tcW w:w="38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0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43,941</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(11,863)</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196"/>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2,525</w:t>
            </w:r>
          </w:p>
        </w:tc>
      </w:tr>
      <w:tr>
        <w:trPr>
          <w:trHeight w:val="203"/>
        </w:trPr>
        <w:tc>
          <w:tcPr>
            <w:tcW w:w="6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36,607</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revaluation of derivative liabilities</w:t>
            </w:r>
            <w:r>
              <w:rPr>
                <w:rFonts w:ascii="Times New Roman" w:cs="Times New Roman" w:eastAsia="Times New Roman" w:hAnsi="Times New Roman"/>
                <w:sz w:val="9"/>
                <w:szCs w:val="9"/>
                <w:color w:val="auto"/>
              </w:rPr>
              <w:t>(iv)</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revaluation of financial instruments</w:t>
            </w:r>
            <w:r>
              <w:rPr>
                <w:rFonts w:ascii="Times New Roman" w:cs="Times New Roman" w:eastAsia="Times New Roman" w:hAnsi="Times New Roman"/>
                <w:sz w:val="9"/>
                <w:szCs w:val="9"/>
                <w:color w:val="auto"/>
              </w:rPr>
              <w:t>(v)</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gain</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(45,489)</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costs</w:t>
            </w:r>
            <w:r>
              <w:rPr>
                <w:rFonts w:ascii="Times New Roman" w:cs="Times New Roman" w:eastAsia="Times New Roman" w:hAnsi="Times New Roman"/>
                <w:sz w:val="9"/>
                <w:szCs w:val="9"/>
                <w:color w:val="auto"/>
              </w:rPr>
              <w:t>(vii)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held-for-sale assets</w:t>
            </w:r>
            <w:r>
              <w:rPr>
                <w:rFonts w:ascii="Times New Roman" w:cs="Times New Roman" w:eastAsia="Times New Roman" w:hAnsi="Times New Roman"/>
                <w:sz w:val="9"/>
                <w:szCs w:val="9"/>
                <w:color w:val="auto"/>
              </w:rPr>
              <w:t>(viii)</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9"/>
                <w:szCs w:val="9"/>
                <w:color w:val="auto"/>
              </w:rPr>
              <w:t>(ix)</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9"/>
                <w:szCs w:val="9"/>
                <w:color w:val="auto"/>
              </w:rPr>
              <w:t>(xi)</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statement review costs</w:t>
            </w:r>
            <w:r>
              <w:rPr>
                <w:rFonts w:ascii="Times New Roman" w:cs="Times New Roman" w:eastAsia="Times New Roman" w:hAnsi="Times New Roman"/>
                <w:sz w:val="9"/>
                <w:szCs w:val="9"/>
                <w:color w:val="auto"/>
              </w:rPr>
              <w:t>(xii)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Inventory step-up recorded to cost of sales</w:t>
            </w:r>
            <w:r>
              <w:rPr>
                <w:rFonts w:ascii="Times New Roman" w:cs="Times New Roman" w:eastAsia="Times New Roman" w:hAnsi="Times New Roman"/>
                <w:sz w:val="9"/>
                <w:szCs w:val="9"/>
                <w:color w:val="auto"/>
              </w:rPr>
              <w:t>(xiv)</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Israel Ministry of Economy and Industry dumping inquiry</w:t>
            </w:r>
            <w:r>
              <w:rPr>
                <w:rFonts w:ascii="Times New Roman" w:cs="Times New Roman" w:eastAsia="Times New Roman" w:hAnsi="Times New Roman"/>
                <w:sz w:val="9"/>
                <w:szCs w:val="9"/>
                <w:color w:val="auto"/>
              </w:rPr>
              <w:t>(xv)</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190"/>
        </w:trPr>
        <w:tc>
          <w:tcPr>
            <w:tcW w:w="6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(7,203)</w:t>
            </w:r>
          </w:p>
        </w:tc>
      </w:tr>
      <w:tr>
        <w:trPr>
          <w:trHeight w:val="27"/>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Pr>
          <w:p>
            <w:pPr>
              <w:spacing w:after="0"/>
              <w:rPr>
                <w:sz w:val="16"/>
                <w:szCs w:val="16"/>
                <w:color w:val="auto"/>
              </w:rPr>
            </w:pPr>
          </w:p>
        </w:tc>
        <w:tc>
          <w:tcPr>
            <w:tcW w:w="38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100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0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Discontinued Operations</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(45,027)</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income, net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96"/>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r>
      <w:tr>
        <w:trPr>
          <w:trHeight w:val="203"/>
        </w:trPr>
        <w:tc>
          <w:tcPr>
            <w:tcW w:w="6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(58,425)</w:t>
            </w:r>
          </w:p>
        </w:tc>
      </w:tr>
      <w:tr>
        <w:trPr>
          <w:trHeight w:val="195"/>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 of income from equity method investments</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10"/>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 on long-lived assets</w:t>
            </w:r>
            <w:r>
              <w:rPr>
                <w:rFonts w:ascii="Times New Roman" w:cs="Times New Roman" w:eastAsia="Times New Roman" w:hAnsi="Times New Roman"/>
                <w:sz w:val="18"/>
                <w:szCs w:val="18"/>
                <w:color w:val="auto"/>
                <w:vertAlign w:val="superscript"/>
              </w:rPr>
              <w:t>(i)</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Loss on revaluation of derivative liabilities</w:t>
            </w:r>
            <w:r>
              <w:rPr>
                <w:rFonts w:ascii="Times New Roman" w:cs="Times New Roman" w:eastAsia="Times New Roman" w:hAnsi="Times New Roman"/>
                <w:sz w:val="18"/>
                <w:szCs w:val="18"/>
                <w:color w:val="auto"/>
                <w:vertAlign w:val="superscript"/>
              </w:rPr>
              <w:t>(iv)</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Loss on revaluation of financial instruments</w:t>
            </w:r>
            <w:r>
              <w:rPr>
                <w:rFonts w:ascii="Times New Roman" w:cs="Times New Roman" w:eastAsia="Times New Roman" w:hAnsi="Times New Roman"/>
                <w:sz w:val="18"/>
                <w:szCs w:val="18"/>
                <w:color w:val="auto"/>
                <w:vertAlign w:val="superscript"/>
              </w:rPr>
              <w:t>(v)</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Impairment loss on other investments</w:t>
            </w:r>
            <w:r>
              <w:rPr>
                <w:rFonts w:ascii="Times New Roman" w:cs="Times New Roman" w:eastAsia="Times New Roman" w:hAnsi="Times New Roman"/>
                <w:sz w:val="18"/>
                <w:szCs w:val="18"/>
                <w:color w:val="auto"/>
                <w:vertAlign w:val="superscript"/>
              </w:rPr>
              <w:t>(vi)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23,350</w:t>
            </w:r>
          </w:p>
        </w:tc>
      </w:tr>
      <w:tr>
        <w:trPr>
          <w:trHeight w:val="203"/>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transaction loss</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11,323</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18"/>
                <w:szCs w:val="18"/>
                <w:color w:val="auto"/>
                <w:vertAlign w:val="superscript"/>
              </w:rPr>
              <w:t>(ix)</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Restructuring costs</w:t>
            </w:r>
            <w:r>
              <w:rPr>
                <w:rFonts w:ascii="Times New Roman" w:cs="Times New Roman" w:eastAsia="Times New Roman" w:hAnsi="Times New Roman"/>
                <w:sz w:val="18"/>
                <w:szCs w:val="18"/>
                <w:color w:val="auto"/>
                <w:vertAlign w:val="superscript"/>
              </w:rPr>
              <w:t>(x)</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Share-based compensation</w:t>
            </w:r>
            <w:r>
              <w:rPr>
                <w:rFonts w:ascii="Times New Roman" w:cs="Times New Roman" w:eastAsia="Times New Roman" w:hAnsi="Times New Roman"/>
                <w:sz w:val="18"/>
                <w:szCs w:val="18"/>
                <w:color w:val="auto"/>
                <w:vertAlign w:val="superscript"/>
              </w:rPr>
              <w:t>(xi)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r>
      <w:tr>
        <w:trPr>
          <w:trHeight w:val="203"/>
        </w:trPr>
        <w:tc>
          <w:tcPr>
            <w:tcW w:w="632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rPr>
              <w:t>Financial statement review costs</w:t>
            </w:r>
            <w:r>
              <w:rPr>
                <w:rFonts w:ascii="Times New Roman" w:cs="Times New Roman" w:eastAsia="Times New Roman" w:hAnsi="Times New Roman"/>
                <w:sz w:val="18"/>
                <w:szCs w:val="18"/>
                <w:color w:val="auto"/>
                <w:vertAlign w:val="superscript"/>
              </w:rPr>
              <w:t>(xii)</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03"/>
        </w:trPr>
        <w:tc>
          <w:tcPr>
            <w:tcW w:w="632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Inventory write-down</w:t>
            </w:r>
            <w:r>
              <w:rPr>
                <w:rFonts w:ascii="Times New Roman" w:cs="Times New Roman" w:eastAsia="Times New Roman" w:hAnsi="Times New Roman"/>
                <w:sz w:val="18"/>
                <w:szCs w:val="18"/>
                <w:color w:val="auto"/>
                <w:vertAlign w:val="superscript"/>
              </w:rPr>
              <w:t>(xiii)</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15"/>
        </w:trPr>
        <w:tc>
          <w:tcPr>
            <w:tcW w:w="6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500" w:hanging="492"/>
        <w:spacing w:after="0" w:line="231" w:lineRule="auto"/>
        <w:tabs>
          <w:tab w:leader="none" w:pos="488"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impairment loss on long-lived assets included $14,258 related to the write-down of our Ginkgo Exclusive Licenses and $1,631 related to the cessation of operations of Thanos Holdings Ltd., known as Cronos Fermentation (“Cronos Fermentation”). For the year ended December 31, 2023, impairment loss on long-lived assets related to certain leased properties associated with the Company’s former U.S. operations and impairment of the Company's CBCVA exclusive license under the collaboration and license agreement between Ginkgo and the Company.</w:t>
      </w:r>
    </w:p>
    <w:p>
      <w:pPr>
        <w:spacing w:after="0" w:line="12" w:lineRule="exact"/>
        <w:rPr>
          <w:rFonts w:ascii="Arial" w:cs="Arial" w:eastAsia="Arial" w:hAnsi="Arial"/>
          <w:sz w:val="19"/>
          <w:szCs w:val="19"/>
          <w:color w:val="auto"/>
          <w:vertAlign w:val="superscript"/>
        </w:rPr>
      </w:pPr>
    </w:p>
    <w:p>
      <w:pPr>
        <w:ind w:left="480" w:hanging="472"/>
        <w:spacing w:after="0"/>
        <w:tabs>
          <w:tab w:leader="none" w:pos="4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a revaluation gain on loan receivable was recognized as a result of the Cronos GrowCo Transaction on July 1, 2024.</w:t>
      </w:r>
    </w:p>
    <w:p>
      <w:pPr>
        <w:spacing w:after="0" w:line="31" w:lineRule="exact"/>
        <w:rPr>
          <w:rFonts w:ascii="Arial" w:cs="Arial" w:eastAsia="Arial" w:hAnsi="Arial"/>
          <w:sz w:val="19"/>
          <w:szCs w:val="19"/>
          <w:color w:val="auto"/>
          <w:vertAlign w:val="superscript"/>
        </w:rPr>
      </w:pPr>
    </w:p>
    <w:p>
      <w:pPr>
        <w:ind w:left="500" w:hanging="492"/>
        <w:spacing w:after="0"/>
        <w:tabs>
          <w:tab w:leader="none" w:pos="489"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a gain on revaluation of equity method investment was recognized as a result of the Cronos GrowCo Transaction on July 1, 2024.</w:t>
      </w:r>
    </w:p>
    <w:p>
      <w:pPr>
        <w:spacing w:after="0" w:line="167" w:lineRule="exact"/>
        <w:rPr>
          <w:rFonts w:ascii="Arial" w:cs="Arial" w:eastAsia="Arial" w:hAnsi="Arial"/>
          <w:sz w:val="19"/>
          <w:szCs w:val="19"/>
          <w:color w:val="auto"/>
          <w:vertAlign w:val="superscript"/>
        </w:rPr>
      </w:pPr>
    </w:p>
    <w:p>
      <w:pPr>
        <w:ind w:left="500" w:hanging="492"/>
        <w:spacing w:after="0" w:line="222" w:lineRule="auto"/>
        <w:tabs>
          <w:tab w:leader="none" w:pos="495"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years ended December 31, 2024 and 2023, the (gain) loss on revaluation of derivative liabilities represented the fair value changes on the derivative liabilities.</w:t>
      </w:r>
    </w:p>
    <w:p>
      <w:pPr>
        <w:sectPr>
          <w:pgSz w:w="11900" w:h="16838" w:orient="portrait"/>
          <w:cols w:equalWidth="0" w:num="1">
            <w:col w:w="11240"/>
          </w:cols>
          <w:pgMar w:left="320" w:top="1033" w:right="339" w:bottom="1440" w:gutter="0" w:footer="0" w:header="0"/>
        </w:sectPr>
      </w:pPr>
    </w:p>
    <w:bookmarkStart w:id="22" w:name="page23"/>
    <w:bookmarkEnd w:id="22"/>
    <w:p>
      <w:pPr>
        <w:ind w:left="600" w:hanging="492"/>
        <w:spacing w:after="0" w:line="290" w:lineRule="auto"/>
        <w:tabs>
          <w:tab w:leader="none" w:pos="587"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the three months and years ended December 31, 2024 and 2023, (gain) loss on revaluation of financial instruments related primarily to our unrealized holding (gain) or loss (as applicable) on our mark-to-market investment in Vitura as well as revaluations of financial liabilities resulting from deferred share units granted to directors.</w:t>
      </w:r>
    </w:p>
    <w:p>
      <w:pPr>
        <w:spacing w:after="0" w:line="2" w:lineRule="exact"/>
        <w:rPr>
          <w:rFonts w:ascii="Arial" w:cs="Arial" w:eastAsia="Arial" w:hAnsi="Arial"/>
          <w:sz w:val="9"/>
          <w:szCs w:val="9"/>
          <w:color w:val="auto"/>
        </w:rPr>
      </w:pPr>
    </w:p>
    <w:p>
      <w:pPr>
        <w:ind w:left="600" w:right="20" w:hanging="492"/>
        <w:spacing w:after="0" w:line="222" w:lineRule="auto"/>
        <w:tabs>
          <w:tab w:leader="none" w:pos="595"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2024 and 2023 and the three months ended December 31, 2023, impairment loss on other investments related to the PharmaCann Option for the difference between its fair value and carrying amount.</w:t>
      </w:r>
    </w:p>
    <w:p>
      <w:pPr>
        <w:spacing w:after="0" w:line="26" w:lineRule="exact"/>
        <w:rPr>
          <w:rFonts w:ascii="Arial" w:cs="Arial" w:eastAsia="Arial" w:hAnsi="Arial"/>
          <w:sz w:val="19"/>
          <w:szCs w:val="19"/>
          <w:color w:val="auto"/>
          <w:vertAlign w:val="superscript"/>
        </w:rPr>
      </w:pPr>
    </w:p>
    <w:p>
      <w:pPr>
        <w:jc w:val="both"/>
        <w:ind w:left="600" w:hanging="492"/>
        <w:spacing w:after="0" w:line="273" w:lineRule="auto"/>
        <w:tabs>
          <w:tab w:leader="none" w:pos="588"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the year and three months ended December 31, 2024, transaction costs represented legal, financial and other advisory fees and expenses incurred in connection with the Cronos GrowCo Transaction. These costs are included in general and administrative expenses on the consolidated statements of net income (loss) and comprehensive income (loss).</w:t>
      </w:r>
    </w:p>
    <w:p>
      <w:pPr>
        <w:spacing w:after="0" w:line="4" w:lineRule="exact"/>
        <w:rPr>
          <w:rFonts w:ascii="Arial" w:cs="Arial" w:eastAsia="Arial" w:hAnsi="Arial"/>
          <w:sz w:val="9"/>
          <w:szCs w:val="9"/>
          <w:color w:val="auto"/>
        </w:rPr>
      </w:pPr>
    </w:p>
    <w:p>
      <w:pPr>
        <w:jc w:val="both"/>
        <w:ind w:left="600" w:hanging="492"/>
        <w:spacing w:after="0" w:line="234" w:lineRule="auto"/>
        <w:tabs>
          <w:tab w:leader="none" w:pos="596"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a loss on held-for-sale assets was recognized as a result of the change in the Company’s sales strategy for the Cronos Fermentation assets to market the assets to a broader buyer pool. For the quarter ended December 31, 2024, a loss on held-for-sale assets was recognized to adjust the net book value of Cronos Fermentation to fair value.</w:t>
      </w:r>
    </w:p>
    <w:p>
      <w:pPr>
        <w:ind w:left="580" w:hanging="472"/>
        <w:spacing w:after="0" w:line="237" w:lineRule="auto"/>
        <w:tabs>
          <w:tab w:leader="none" w:pos="5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years ended December 31, 2024 and 2023, other, net primarily related to (gain) loss on disposal of assets.</w:t>
      </w:r>
    </w:p>
    <w:p>
      <w:pPr>
        <w:spacing w:after="0" w:line="40" w:lineRule="exact"/>
        <w:rPr>
          <w:rFonts w:ascii="Arial" w:cs="Arial" w:eastAsia="Arial" w:hAnsi="Arial"/>
          <w:sz w:val="19"/>
          <w:szCs w:val="19"/>
          <w:color w:val="auto"/>
          <w:vertAlign w:val="superscript"/>
        </w:rPr>
      </w:pPr>
    </w:p>
    <w:p>
      <w:pPr>
        <w:jc w:val="both"/>
        <w:ind w:left="600" w:hanging="492"/>
        <w:spacing w:after="0" w:line="262" w:lineRule="auto"/>
        <w:tabs>
          <w:tab w:leader="none" w:pos="587"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the year ended December 31, 2024, restructuring costs from continuing operations related to shutdown costs at the Cronos Fermentation Facility, as well as employee-related severance costs associated with the Realignment. For the year and three months ended December 31, 2023, restructuring costs related to the employee-related severance costs and other restructuring costs associated with the Realignment.</w:t>
      </w:r>
    </w:p>
    <w:p>
      <w:pPr>
        <w:spacing w:after="0" w:line="12" w:lineRule="exact"/>
        <w:rPr>
          <w:rFonts w:ascii="Arial" w:cs="Arial" w:eastAsia="Arial" w:hAnsi="Arial"/>
          <w:sz w:val="9"/>
          <w:szCs w:val="9"/>
          <w:color w:val="auto"/>
        </w:rPr>
      </w:pPr>
    </w:p>
    <w:p>
      <w:pPr>
        <w:ind w:left="600" w:right="20" w:hanging="492"/>
        <w:spacing w:after="0" w:line="222" w:lineRule="auto"/>
        <w:tabs>
          <w:tab w:leader="none" w:pos="595"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years ended December 31, 2024 and 2023, share-based compensation related to the vesting expenses of share-based compensation awarded to employees under our share-based award plans.</w:t>
      </w:r>
    </w:p>
    <w:p>
      <w:pPr>
        <w:spacing w:after="0" w:line="40" w:lineRule="exact"/>
        <w:rPr>
          <w:rFonts w:ascii="Arial" w:cs="Arial" w:eastAsia="Arial" w:hAnsi="Arial"/>
          <w:sz w:val="19"/>
          <w:szCs w:val="19"/>
          <w:color w:val="auto"/>
          <w:vertAlign w:val="superscript"/>
        </w:rPr>
      </w:pPr>
    </w:p>
    <w:p>
      <w:pPr>
        <w:jc w:val="both"/>
        <w:ind w:left="600" w:hanging="492"/>
        <w:spacing w:after="0" w:line="231" w:lineRule="auto"/>
        <w:tabs>
          <w:tab w:leader="none" w:pos="58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years ended December 31, 2024 and 2023, financial statement review costs included costs related to the Restatements, costs related to the Company’s responses to requests for information from various regulatory authorities relating to the Restatements, the costs related to the Settlement Order and Settlement Agreement and legal costs defending shareholder class action complaints brought against the Company as a result of the 2019 restatement, as well as related insurance reimbursements.</w:t>
      </w:r>
    </w:p>
    <w:p>
      <w:pPr>
        <w:spacing w:after="0" w:line="40" w:lineRule="exact"/>
        <w:rPr>
          <w:rFonts w:ascii="Arial" w:cs="Arial" w:eastAsia="Arial" w:hAnsi="Arial"/>
          <w:sz w:val="19"/>
          <w:szCs w:val="19"/>
          <w:color w:val="auto"/>
          <w:vertAlign w:val="superscript"/>
        </w:rPr>
      </w:pPr>
    </w:p>
    <w:p>
      <w:pPr>
        <w:jc w:val="both"/>
        <w:ind w:left="600" w:hanging="492"/>
        <w:spacing w:after="0" w:line="228" w:lineRule="auto"/>
        <w:tabs>
          <w:tab w:leader="none" w:pos="596"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 ended December 31, 2023, inventory write-downs from discontinued operations relate to product destruction and obsolescence associated with the exit of our U.S. operations and inventory write-downs from continuing operations relate to product destruction and obsolescence associated with the planned exit of Cronos Fermentation.</w:t>
      </w:r>
    </w:p>
    <w:p>
      <w:pPr>
        <w:spacing w:after="0" w:line="26" w:lineRule="exact"/>
        <w:rPr>
          <w:rFonts w:ascii="Arial" w:cs="Arial" w:eastAsia="Arial" w:hAnsi="Arial"/>
          <w:sz w:val="19"/>
          <w:szCs w:val="19"/>
          <w:color w:val="auto"/>
          <w:vertAlign w:val="superscript"/>
        </w:rPr>
      </w:pPr>
    </w:p>
    <w:p>
      <w:pPr>
        <w:ind w:left="600" w:right="20" w:hanging="492"/>
        <w:spacing w:after="0" w:line="290" w:lineRule="auto"/>
        <w:tabs>
          <w:tab w:leader="none" w:pos="587" w:val="left"/>
        </w:tabs>
        <w:numPr>
          <w:ilvl w:val="0"/>
          <w:numId w:val="12"/>
        </w:numPr>
        <w:rPr>
          <w:rFonts w:ascii="Arial" w:cs="Arial" w:eastAsia="Arial" w:hAnsi="Arial"/>
          <w:sz w:val="9"/>
          <w:szCs w:val="9"/>
          <w:color w:val="auto"/>
        </w:rPr>
      </w:pPr>
      <w:r>
        <w:rPr>
          <w:rFonts w:ascii="Arial" w:cs="Arial" w:eastAsia="Arial" w:hAnsi="Arial"/>
          <w:sz w:val="14"/>
          <w:szCs w:val="14"/>
          <w:color w:val="auto"/>
        </w:rPr>
        <w:t>For the three months and year ended December 31, 2024, inventory step-up recorded to cost of sales represented the portion of the inventory step-up from the Cronos GrowCo Transaction that was recorded through the consolidated statements of income (loss) and comprehensive income (loss).</w:t>
      </w:r>
    </w:p>
    <w:p>
      <w:pPr>
        <w:spacing w:after="0" w:line="2" w:lineRule="exact"/>
        <w:rPr>
          <w:rFonts w:ascii="Arial" w:cs="Arial" w:eastAsia="Arial" w:hAnsi="Arial"/>
          <w:sz w:val="9"/>
          <w:szCs w:val="9"/>
          <w:color w:val="auto"/>
        </w:rPr>
      </w:pPr>
    </w:p>
    <w:p>
      <w:pPr>
        <w:ind w:left="600" w:right="20" w:hanging="492"/>
        <w:spacing w:after="0" w:line="222" w:lineRule="auto"/>
        <w:tabs>
          <w:tab w:leader="none" w:pos="594"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For the three months and year ended December 31, 2024, Israel Ministry of Economy and Industry dumping inquiry expense included expenditures relating to the regulatory inquiry about alleged dumping of medical cannabis products in Israel and related litigation and external relations expenses.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02" w:lineRule="exact"/>
        <w:rPr>
          <w:sz w:val="20"/>
          <w:szCs w:val="20"/>
          <w:color w:val="auto"/>
        </w:rPr>
      </w:pPr>
    </w:p>
    <w:p>
      <w:pPr>
        <w:ind w:left="100"/>
        <w:spacing w:after="0" w:line="237"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Adjusted Gross Profit and Adjusted Gross Margin, non-GAAP measures that exclude the impacts of inventory-related purchase accounting adjustments from the</w:t>
      </w:r>
    </w:p>
    <w:p>
      <w:pPr>
        <w:spacing w:after="0" w:line="1" w:lineRule="exact"/>
        <w:rPr>
          <w:sz w:val="20"/>
          <w:szCs w:val="20"/>
          <w:color w:val="auto"/>
        </w:rPr>
      </w:pPr>
    </w:p>
    <w:p>
      <w:pPr>
        <w:ind w:left="100"/>
        <w:spacing w:after="0" w:line="250" w:lineRule="auto"/>
        <w:rPr>
          <w:sz w:val="20"/>
          <w:szCs w:val="20"/>
          <w:color w:val="auto"/>
        </w:rPr>
      </w:pPr>
      <w:r>
        <w:rPr>
          <w:rFonts w:ascii="Arial" w:cs="Arial" w:eastAsia="Arial" w:hAnsi="Arial"/>
          <w:sz w:val="18"/>
          <w:szCs w:val="18"/>
          <w:color w:val="auto"/>
        </w:rPr>
        <w:t>calculations of gross profit and gross margin, which resulted from the Cronos GrowCo Transaction. Results are reported as total consolidated results, reflecting our reporting structure of one reportable segment.</w:t>
      </w:r>
    </w:p>
    <w:p>
      <w:pPr>
        <w:sectPr>
          <w:pgSz w:w="11900" w:h="16838" w:orient="portrait"/>
          <w:cols w:equalWidth="0" w:num="1">
            <w:col w:w="11340"/>
          </w:cols>
          <w:pgMar w:left="220" w:top="954" w:right="3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color w:val="auto"/>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tc>
        <w:tc>
          <w:tcPr>
            <w:tcW w:w="260" w:type="dxa"/>
            <w:vAlign w:val="bottom"/>
          </w:tcPr>
          <w:p>
            <w:pPr>
              <w:spacing w:after="0"/>
              <w:rPr>
                <w:sz w:val="16"/>
                <w:szCs w:val="16"/>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6"/>
                <w:szCs w:val="16"/>
                <w:color w:val="auto"/>
              </w:rPr>
            </w:pPr>
          </w:p>
        </w:tc>
        <w:tc>
          <w:tcPr>
            <w:tcW w:w="11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30,301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117,615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87,241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10,807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25,198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Inventory step-up recorded to</w:t>
            </w:r>
          </w:p>
        </w:tc>
        <w:tc>
          <w:tcPr>
            <w:tcW w:w="240" w:type="dxa"/>
            <w:vAlign w:val="bottom"/>
          </w:tcPr>
          <w:p>
            <w:pPr>
              <w:spacing w:after="0"/>
              <w:rPr>
                <w:sz w:val="14"/>
                <w:szCs w:val="14"/>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(1,832)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(1,832)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4"/>
                <w:szCs w:val="14"/>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5,284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30,482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Gross margin</w:t>
            </w:r>
            <w:r>
              <w:rPr>
                <w:rFonts w:ascii="Times New Roman" w:cs="Times New Roman" w:eastAsia="Times New Roman" w:hAnsi="Times New Roman"/>
                <w:sz w:val="21"/>
                <w:szCs w:val="21"/>
                <w:color w:val="auto"/>
                <w:vertAlign w:val="superscript"/>
              </w:rPr>
              <w:t>(i)</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 pp</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pp</w:t>
            </w:r>
          </w:p>
        </w:tc>
        <w:tc>
          <w:tcPr>
            <w:tcW w:w="0" w:type="dxa"/>
            <w:vAlign w:val="bottom"/>
          </w:tcPr>
          <w:p>
            <w:pPr>
              <w:spacing w:after="0"/>
              <w:rPr>
                <w:sz w:val="1"/>
                <w:szCs w:val="1"/>
                <w:color w:val="auto"/>
              </w:rPr>
            </w:pPr>
          </w:p>
        </w:tc>
      </w:tr>
      <w:tr>
        <w:trPr>
          <w:trHeight w:val="216"/>
        </w:trPr>
        <w:tc>
          <w:tcPr>
            <w:tcW w:w="22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Gross Margin</w:t>
            </w:r>
            <w:r>
              <w:rPr>
                <w:rFonts w:ascii="Times New Roman" w:cs="Times New Roman" w:eastAsia="Times New Roman" w:hAnsi="Times New Roman"/>
                <w:sz w:val="21"/>
                <w:szCs w:val="21"/>
                <w:color w:val="auto"/>
                <w:vertAlign w:val="superscript"/>
              </w:rPr>
              <w:t>(ii)</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22 pp</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pp</w:t>
            </w: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Gross margin is defined as gross profit divided by net revenue.</w:t>
      </w:r>
    </w:p>
    <w:p>
      <w:pPr>
        <w:spacing w:after="0" w:line="53" w:lineRule="exact"/>
        <w:rPr>
          <w:rFonts w:ascii="Arial" w:cs="Arial" w:eastAsia="Arial" w:hAnsi="Arial"/>
          <w:sz w:val="19"/>
          <w:szCs w:val="19"/>
          <w:color w:val="auto"/>
          <w:vertAlign w:val="superscript"/>
        </w:rPr>
      </w:pPr>
    </w:p>
    <w:p>
      <w:pPr>
        <w:ind w:left="480" w:hanging="472"/>
        <w:spacing w:after="0" w:line="193" w:lineRule="auto"/>
        <w:tabs>
          <w:tab w:leader="none" w:pos="4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Adjusted Gross Margin is defined as Adjusted Gross Profit divided by net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2024, as well as cash and cash equivalents and short-term investment balances as of December 31, 2024 compared to December 31, 2023, which are considered non-GAAP financial measures. We present constant currency information to provide a framework for assessing how our underlying operations performed excluding the effect of foreign currency rate fluctuations. To present this information, current and prior period income statement results in currencies other than U.S. dollars are converted into U.S. dollars using the average exchange rates from the comparative period in 2023 rather than the actual average exchange rates in effect during 2024; constant currency current period balance sheet information is translated at the prior year-end spot rate rather than the current year-end spot rate. All growth comparisons relate to the corresponding period in 2023. We have provided this non-GAAP financial information to aid investors in better understanding the performance of our business. The non-GAAP financial measures presented in this press release should not be considered as a substitute for, or superior to, the measures of financial performance prepared in accordance with U.S. GAAP.</w:t>
      </w:r>
    </w:p>
    <w:p>
      <w:pPr>
        <w:sectPr>
          <w:pgSz w:w="11900" w:h="16838" w:orient="portrait"/>
          <w:cols w:equalWidth="0" w:num="1">
            <w:col w:w="11240"/>
          </w:cols>
          <w:pgMar w:left="320" w:top="998"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an as-reported and constant currency basis for 2024 compared to 2023, as well as cash and cash equivalents and short-term investments as of December 31, 2024, compared to December 31, 2023, on an as-reported and constant currency basis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1"/>
                <w:szCs w:val="11"/>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1"/>
                <w:szCs w:val="11"/>
                <w:color w:val="auto"/>
              </w:rPr>
            </w:pPr>
          </w:p>
        </w:tc>
        <w:tc>
          <w:tcPr>
            <w:tcW w:w="1860" w:type="dxa"/>
            <w:vAlign w:val="bottom"/>
            <w:gridSpan w:val="4"/>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30,301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23,915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30,527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10,807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8,894</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10,914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N/A</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 pp</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pp</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22,172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23,549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22,557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from</w:t>
            </w:r>
          </w:p>
        </w:tc>
        <w:tc>
          <w:tcPr>
            <w:tcW w:w="180" w:type="dxa"/>
            <w:vAlign w:val="bottom"/>
          </w:tcPr>
          <w:p>
            <w:pPr>
              <w:spacing w:after="0"/>
              <w:rPr>
                <w:sz w:val="14"/>
                <w:szCs w:val="14"/>
                <w:color w:val="auto"/>
              </w:rPr>
            </w:pPr>
          </w:p>
        </w:tc>
        <w:tc>
          <w:tcPr>
            <w:tcW w:w="10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43,941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(45,151)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89,092</w:t>
            </w:r>
          </w:p>
        </w:tc>
        <w:tc>
          <w:tcPr>
            <w:tcW w:w="80" w:type="dxa"/>
            <w:vAlign w:val="bottom"/>
          </w:tcPr>
          <w:p>
            <w:pPr>
              <w:spacing w:after="0"/>
              <w:rPr>
                <w:sz w:val="14"/>
                <w:szCs w:val="14"/>
                <w:color w:val="auto"/>
              </w:rPr>
            </w:pP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4"/>
                <w:szCs w:val="14"/>
                <w:color w:val="auto"/>
              </w:rPr>
            </w:pPr>
          </w:p>
        </w:tc>
        <w:tc>
          <w:tcPr>
            <w:tcW w:w="146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color w:val="auto"/>
              </w:rPr>
              <w:t>44,431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(14,790)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7,587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(7,869)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9"/>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1"/>
                <w:szCs w:val="11"/>
                <w:color w:val="auto"/>
              </w:rPr>
            </w:pPr>
          </w:p>
        </w:tc>
        <w:tc>
          <w:tcPr>
            <w:tcW w:w="18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1"/>
                <w:szCs w:val="11"/>
                <w:color w:val="auto"/>
              </w:rPr>
            </w:pPr>
          </w:p>
        </w:tc>
        <w:tc>
          <w:tcPr>
            <w:tcW w:w="1860" w:type="dxa"/>
            <w:vAlign w:val="bottom"/>
            <w:gridSpan w:val="4"/>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117,615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30,374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118,983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25,198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13,289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25,505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N/A</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 pp</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N/A</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pp</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101,727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96,709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102,972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from</w:t>
            </w:r>
          </w:p>
        </w:tc>
        <w:tc>
          <w:tcPr>
            <w:tcW w:w="180" w:type="dxa"/>
            <w:vAlign w:val="bottom"/>
          </w:tcPr>
          <w:p>
            <w:pPr>
              <w:spacing w:after="0"/>
              <w:rPr>
                <w:sz w:val="14"/>
                <w:szCs w:val="14"/>
                <w:color w:val="auto"/>
              </w:rPr>
            </w:pPr>
          </w:p>
        </w:tc>
        <w:tc>
          <w:tcPr>
            <w:tcW w:w="10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rPr>
              <w:t>40,022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(70,439)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110,461</w:t>
            </w:r>
          </w:p>
        </w:tc>
        <w:tc>
          <w:tcPr>
            <w:tcW w:w="80" w:type="dxa"/>
            <w:vAlign w:val="bottom"/>
          </w:tcPr>
          <w:p>
            <w:pPr>
              <w:spacing w:after="0"/>
              <w:rPr>
                <w:sz w:val="14"/>
                <w:szCs w:val="14"/>
                <w:color w:val="auto"/>
              </w:rPr>
            </w:pP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4"/>
                <w:szCs w:val="14"/>
                <w:color w:val="auto"/>
              </w:rPr>
            </w:pPr>
          </w:p>
        </w:tc>
        <w:tc>
          <w:tcPr>
            <w:tcW w:w="146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color w:val="auto"/>
              </w:rPr>
              <w:t>42,007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112,446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(34,942)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(61,564)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26,622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(35,891)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9"/>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24"/>
                <w:szCs w:val="24"/>
                <w:color w:val="auto"/>
              </w:rPr>
            </w:pPr>
          </w:p>
        </w:tc>
        <w:tc>
          <w:tcPr>
            <w:tcW w:w="18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Pr>
          <w:p>
            <w:pPr>
              <w:spacing w:after="0"/>
              <w:rPr>
                <w:sz w:val="24"/>
                <w:szCs w:val="24"/>
                <w:color w:val="auto"/>
              </w:rPr>
            </w:pPr>
          </w:p>
        </w:tc>
        <w:tc>
          <w:tcPr>
            <w:tcW w:w="186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858,805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669,291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189,514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869,761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(192,237)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858,805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861,528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869,761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6"/>
        </w:trPr>
        <w:tc>
          <w:tcPr>
            <w:tcW w:w="2160" w:type="dxa"/>
            <w:vAlign w:val="bottom"/>
            <w:tcBorders>
              <w:bottom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and short-term investments</w:t>
            </w: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9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Cannabis flower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Cannabis extracts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6,729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30,527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Cannabis flower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88,904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Cannabis extracts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29,552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87,241</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30,374</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118,983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20,156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30,301</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30,527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As Adjusted for Constant Currency</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1"/>
                <w:szCs w:val="11"/>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 Change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220" w:type="dxa"/>
            <w:vAlign w:val="bottom"/>
          </w:tcPr>
          <w:p>
            <w:pPr>
              <w:spacing w:after="0"/>
              <w:rPr>
                <w:sz w:val="11"/>
                <w:szCs w:val="11"/>
                <w:color w:val="auto"/>
              </w:rPr>
            </w:pPr>
          </w:p>
        </w:tc>
        <w:tc>
          <w:tcPr>
            <w:tcW w:w="214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83,709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28,454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0" w:type="dxa"/>
            <w:vAlign w:val="bottom"/>
          </w:tcPr>
          <w:p>
            <w:pPr>
              <w:spacing w:after="0"/>
              <w:rPr>
                <w:sz w:val="1"/>
                <w:szCs w:val="1"/>
                <w:color w:val="auto"/>
              </w:rPr>
            </w:pPr>
          </w:p>
        </w:tc>
      </w:tr>
      <w:tr>
        <w:trPr>
          <w:trHeight w:val="207"/>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87,241</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30,374</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118,983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31,742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2024, net revenue on a constant currency basis was $119.0 million, representing a 36% increase from 2023. Net revenue increased on a constant currency basis primarily due to higher cannabis flower and extract sales in the Canadian market and higher cannabis flower sales in Israel and other countries. The Cronos GrowCo Transaction contributed $6.5 million of cannabis flower sales in the year ended December 31, 2024 on a constant currency basis. No such sales were recognized for the year ended December 31,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2024, gross profit on a constant currency basis was $ 25.5 million, representing a 114% increase from 2023. Gross profit increased on a constant currency basis primarily due to higher cannabis flower and extract sales in the Canadian market, higher cannabis flower sales in Israel and other countries, and production cost improvements, partially offset by the impact on cost of sales from the inventory step-up from the Cronos GrowCo Transaction. For 2024, gross profit on a constant currency basis was reduced $5.1 million as a result of the impact of the inventory step-up from the Cronos GrowCo Transaction that was recorded into cost of sales. No such costs were recognized for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2024, operating expenses on a constant currency basis were $103.0 million, representing a 6% increase from 2023. Operating expenses increased on a constant currency basis primarily due to the impairment of the Ginkgo Exclusive Licenses, partially offset by lower salaries and benefits, professional fees and restructuring costs.</w:t>
      </w:r>
    </w:p>
    <w:p>
      <w:pPr>
        <w:sectPr>
          <w:pgSz w:w="11900" w:h="16838" w:orient="portrait"/>
          <w:cols w:equalWidth="0" w:num="1">
            <w:col w:w="11240"/>
          </w:cols>
          <w:pgMar w:left="320" w:top="100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income (loss) from continuing operations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2024, net income (loss) from continuing operations on a constant currency basis was $42.0 million, compared to a loss of $70.4 million for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2024, Adjusted EBITDA on a constant currency basis was $ (35.9) million, representing a 42% improvement from 2023. Adjusted EBITDA improved on a constant currency basis primarily due to higher cannabis flower and extract sales in the Canadian market, higher cannabis flower sales in Israel and other countries, production cost improvements, and decreases in general and administrative, sales and marketing and research and development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and cash equivalents and short-term investments on a constant currency basis increased 1% to $869.8 million as of December 31, 2024 from $861.5 million as of December 31, 2023. The increase in cash and cash equivalents and short-term investments is primarily due to cash flows provided by operating activities in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All currency amounts in this press release are stated in U.S. dollars, which is our reporting currency, unless otherwise noted. All references to “dollars” or “$” are to U.S. dollars. The assets and liabilities of our foreign operations are translated into dollars at the exchange rate in effect as of December 31, 2024 and December 31, 2023, as reported on Bloomberg. Transactions affecting the shareholders’ equity (deficit) are translated at historical foreign exchange rates. The consolidated statements of net income (loss) and comprehensive income (loss) and consolidated statements of cash flows of our foreign operations are translated into dollars by applying the average foreign exchange rate in effect for the years ended December 31, 2024, December 31, 2023, and December 31, 2022, as reported on Bloomberg.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Canadian dollars (“C$”) to dollars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C$ per $)</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w:t>
            </w:r>
          </w:p>
        </w:tc>
      </w:tr>
      <w:tr>
        <w:trPr>
          <w:trHeight w:val="239"/>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Spot rate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1.4351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1.3554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rates used to translate from New Israeli Shekels (“ILS”) to dollars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ILS per $)</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24"/>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3.6997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r>
      <w:tr>
        <w:trPr>
          <w:trHeight w:val="239"/>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Spot rate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3.6526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3.6163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3.5178</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Anna Shlimak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Tel: (416) 504-0004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investor.relations@thecronosgroup.com</w:t>
      </w:r>
    </w:p>
    <w:sectPr>
      <w:pgSz w:w="11900" w:h="16838" w:orient="portrait"/>
      <w:cols w:equalWidth="0" w:num="1">
        <w:col w:w="11240"/>
      </w:cols>
      <w:pgMar w:left="320" w:top="10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Roman"/>
      <w:start w:val="18"/>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5"/>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2025-02-27T06:39:28Z</dcterms:created>
  <dcterms:modified xsi:type="dcterms:W3CDTF">2025-02-27T06:39:28Z</dcterms:modified>
</cp:coreProperties>
</file>