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-226060</wp:posOffset>
            </wp:positionV>
            <wp:extent cx="120015" cy="1200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-565785</wp:posOffset>
            </wp:positionV>
            <wp:extent cx="120015" cy="1200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6"/>
        </w:trPr>
        <w:tc>
          <w:tcPr>
            <w:tcW w:w="622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5218430</wp:posOffset>
            </wp:positionH>
            <wp:positionV relativeFrom="paragraph">
              <wp:posOffset>-612775</wp:posOffset>
            </wp:positionV>
            <wp:extent cx="57150" cy="6261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3936365</wp:posOffset>
            </wp:positionH>
            <wp:positionV relativeFrom="paragraph">
              <wp:posOffset>-612775</wp:posOffset>
            </wp:positionV>
            <wp:extent cx="57150" cy="6261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725805</wp:posOffset>
            </wp:positionV>
            <wp:extent cx="6996430" cy="56826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6430" cy="5682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60"/>
            <w:col w:w="8440"/>
          </w:cols>
          <w:pgMar w:left="460" w:top="215" w:right="359" w:bottom="1440" w:gutter="0" w:footer="0" w:header="0"/>
        </w:sectPr>
      </w:pP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Kenost Jared Matthew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4491 CONCESSION RD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Cronos Group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CRON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-3" w:right="700" w:firstLine="3"/>
        <w:spacing w:after="0" w:line="249" w:lineRule="auto"/>
        <w:tabs>
          <w:tab w:leader="none" w:pos="13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9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9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115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See Remarks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STAYNER</w:t>
            </w:r>
          </w:p>
        </w:tc>
        <w:tc>
          <w:tcPr>
            <w:tcW w:w="8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A6</w:t>
            </w:r>
          </w:p>
        </w:tc>
        <w:tc>
          <w:tcPr>
            <w:tcW w:w="202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L0M 1S0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2"/>
              </w:rPr>
              <w:t>(State)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4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7"/>
              </w:rPr>
              <w:t>1. Title of Security (Instr. 3)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SHARES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05/10/2026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7,535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00"/>
                <w:w w:val="79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w w:val="79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36,923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SHARES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05/10/2026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2,896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2.54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34,027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SHARES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05/10/2026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5,114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00"/>
                <w:w w:val="79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w w:val="79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39,141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SHARES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05/10/2026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1,878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2.54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37,263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20" w:type="dxa"/>
            <w:vAlign w:val="bottom"/>
            <w:gridSpan w:val="10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7,535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173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05/10/2026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7,535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38,468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9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5,114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173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05/10/2026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5,114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33,354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-2392045</wp:posOffset>
            </wp:positionV>
            <wp:extent cx="28575" cy="23971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397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common share of Cronos Group Inc.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May 10, 2023, the Reporting Person was granted 22,606 RSUs, vesting in three substantially equal annual installments beginning on the first anniversary of the grant date.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May 10, 2024, the Reporting Person was granted 15,343 RSUs, vesting in three substantially equal annual installments beginning on the first anniversary of the grant date.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Vice President, Controller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Ryan Morgan, as attorney-in-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05/12/2026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-26035</wp:posOffset>
            </wp:positionV>
            <wp:extent cx="13506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fact for Jared Matthew Kenost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2668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5585460</wp:posOffset>
            </wp:positionH>
            <wp:positionV relativeFrom="paragraph">
              <wp:posOffset>-79375</wp:posOffset>
            </wp:positionV>
            <wp:extent cx="47434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760" w:hanging="1"/>
        <w:spacing w:after="0" w:line="329" w:lineRule="auto"/>
        <w:tabs>
          <w:tab w:leader="none" w:pos="17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103831" TargetMode="External"/><Relationship Id="rId14" Type="http://schemas.openxmlformats.org/officeDocument/2006/relationships/hyperlink" Target="http://www.sec.gov/cgi-bin/browse-edgar?action=getcompany&amp;CIK=000165647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2026-05-12T16:21:46Z</dcterms:created>
  <dcterms:modified xsi:type="dcterms:W3CDTF">2026-05-12T16:21:46Z</dcterms:modified>
</cp:coreProperties>
</file>