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2246.xml.htm"/>
      <w:bookmarkStart w:id="1" w:name="kswkform4_17787922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Buggy Shannon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2"/>
        <w:gridCol w:w="903"/>
        <w:gridCol w:w="773"/>
        <w:gridCol w:w="600"/>
        <w:gridCol w:w="346"/>
        <w:gridCol w:w="925"/>
        <w:gridCol w:w="448"/>
        <w:gridCol w:w="66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20,622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187,501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9,179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178,322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180,284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of Cronos Group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May 12, 2025, the reporting person was granted 61,868 RSUs, vesting in three substantially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President, Global Head of People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Werner, as attorney-in-fact for Shannon Buggy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967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3458</Characters>
  <CharactersWithSpaces>4021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