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-224155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5206365</wp:posOffset>
            </wp:positionH>
            <wp:positionV relativeFrom="paragraph">
              <wp:posOffset>-608965</wp:posOffset>
            </wp:positionV>
            <wp:extent cx="57150" cy="6223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3925570</wp:posOffset>
            </wp:positionH>
            <wp:positionV relativeFrom="paragraph">
              <wp:posOffset>-608965</wp:posOffset>
            </wp:positionV>
            <wp:extent cx="57150" cy="62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640715</wp:posOffset>
            </wp:positionV>
            <wp:extent cx="6997065" cy="4808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065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Doucet Terrence Gregory Joseph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4491 CONCESSION RD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Cronos Group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CRON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" w:right="720" w:firstLine="1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19"/>
        <w:spacing w:after="0"/>
        <w:tabs>
          <w:tab w:leader="none" w:pos="207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See Remarks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1" w:space="720"/>
            <w:col w:w="3359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6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STAYNER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A6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L0M 1S0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(State)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6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10,597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 w:line="3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115,787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05/12/2026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5,199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3.75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110,588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60" w:type="dxa"/>
            <w:vAlign w:val="bottom"/>
            <w:gridSpan w:val="1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10,597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10,597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4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173,811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-1953895</wp:posOffset>
            </wp:positionV>
            <wp:extent cx="28575" cy="1959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95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common share of Cronos Group Inc.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denominated in Canadian dollars.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12, 2025, the Reporting Person was granted 31,793 RSUs, vesting in three substantially equal annual installments beginning on the first anniversary of the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General Counsel and Corporate Secretary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Terrence Doucet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05/13/2026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56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3055" TargetMode="External"/><Relationship Id="rId14" Type="http://schemas.openxmlformats.org/officeDocument/2006/relationships/hyperlink" Target="http://www.sec.gov/cgi-bin/browse-edgar?action=getcompany&amp;CIK=0001656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2026-05-14T16:14:49Z</dcterms:created>
  <dcterms:modified xsi:type="dcterms:W3CDTF">2026-05-14T16:14:49Z</dcterms:modified>
</cp:coreProperties>
</file>