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-226060</wp:posOffset>
            </wp:positionV>
            <wp:extent cx="120015" cy="1200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-565785</wp:posOffset>
            </wp:positionV>
            <wp:extent cx="120015" cy="1200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6"/>
        </w:trPr>
        <w:tc>
          <w:tcPr>
            <w:tcW w:w="622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5218430</wp:posOffset>
            </wp:positionH>
            <wp:positionV relativeFrom="paragraph">
              <wp:posOffset>-612775</wp:posOffset>
            </wp:positionV>
            <wp:extent cx="57150" cy="6261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3936365</wp:posOffset>
            </wp:positionH>
            <wp:positionV relativeFrom="paragraph">
              <wp:posOffset>-612775</wp:posOffset>
            </wp:positionV>
            <wp:extent cx="57150" cy="6261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-1687830</wp:posOffset>
            </wp:positionH>
            <wp:positionV relativeFrom="paragraph">
              <wp:posOffset>725805</wp:posOffset>
            </wp:positionV>
            <wp:extent cx="6996430" cy="4712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6430" cy="4712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60"/>
            <w:col w:w="8440"/>
          </w:cols>
          <w:pgMar w:left="460" w:top="215" w:right="359" w:bottom="1440" w:gutter="0" w:footer="0" w:header="0"/>
        </w:sectPr>
      </w:pP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Weigensberg Arye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4491 CONCESSION RD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Cronos Group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CRON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-3" w:right="700" w:firstLine="3"/>
        <w:spacing w:after="0" w:line="249" w:lineRule="auto"/>
        <w:tabs>
          <w:tab w:leader="none" w:pos="13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9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9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115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See Remarks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  <w:vMerge w:val="restart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STAYNER</w:t>
            </w:r>
          </w:p>
        </w:tc>
        <w:tc>
          <w:tcPr>
            <w:tcW w:w="8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A6</w:t>
            </w:r>
          </w:p>
        </w:tc>
        <w:tc>
          <w:tcPr>
            <w:tcW w:w="202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L0M 1S0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2"/>
              </w:rPr>
              <w:t>(State)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7"/>
              </w:rPr>
              <w:t>1. Title of Security (Instr. 3)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SHARES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05/10/2026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3,118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 w:line="3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211,555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60" w:type="dxa"/>
            <w:vAlign w:val="bottom"/>
            <w:gridSpan w:val="11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3,118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05/10/2026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3,118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154,419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-2047240</wp:posOffset>
            </wp:positionV>
            <wp:extent cx="28575" cy="20523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052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common share of Cronos Group Inc.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May 10, 2024, the reporting person was granted 9,355 RSUs, vesting in three substantially equal annual installments beginning on the first anniversary of the grant date.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Senior Vice President, Head of Research and Development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Aaron B. Werner,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-3810</wp:posOffset>
            </wp:positionV>
            <wp:extent cx="9709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09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attorney-in-fact for Arye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-11430</wp:posOffset>
            </wp:positionV>
            <wp:extent cx="18688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88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Weigensberg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-11430</wp:posOffset>
            </wp:positionV>
            <wp:extent cx="5391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760" w:hanging="1"/>
        <w:spacing w:after="0" w:line="329" w:lineRule="auto"/>
        <w:tabs>
          <w:tab w:leader="none" w:pos="17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37121" TargetMode="External"/><Relationship Id="rId14" Type="http://schemas.openxmlformats.org/officeDocument/2006/relationships/hyperlink" Target="http://www.sec.gov/cgi-bin/browse-edgar?action=getcompany&amp;CIK=000165647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2026-05-12T16:24:36Z</dcterms:created>
  <dcterms:modified xsi:type="dcterms:W3CDTF">2026-05-12T16:24:36Z</dcterms:modified>
</cp:coreProperties>
</file>