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629285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4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1847850</wp:posOffset>
            </wp:positionH>
            <wp:positionV relativeFrom="paragraph">
              <wp:posOffset>81915</wp:posOffset>
            </wp:positionV>
            <wp:extent cx="34544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1847850</wp:posOffset>
            </wp:positionH>
            <wp:positionV relativeFrom="paragraph">
              <wp:posOffset>78105</wp:posOffset>
            </wp:positionV>
            <wp:extent cx="34544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18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3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Pursuant to Section 13 or 15(d)</w:t>
      </w:r>
    </w:p>
    <w:p>
      <w:pPr>
        <w:spacing w:after="0" w:line="1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of the Securities Exchange Act of 1934</w:t>
      </w:r>
    </w:p>
    <w:p>
      <w:pPr>
        <w:spacing w:after="0" w:line="23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 xml:space="preserve">Date of Report (Date of earliest event reported): </w:t>
      </w:r>
      <w:r>
        <w:rPr>
          <w:rFonts w:ascii="Times New Roman" w:cs="Times New Roman" w:eastAsia="Times New Roman" w:hAnsi="Times New Roman"/>
          <w:sz w:val="14"/>
          <w:szCs w:val="14"/>
          <w:b w:val="1"/>
          <w:bCs w:val="1"/>
          <w:color w:val="auto"/>
        </w:rPr>
        <w:t>June 18,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1847850</wp:posOffset>
            </wp:positionH>
            <wp:positionV relativeFrom="paragraph">
              <wp:posOffset>67945</wp:posOffset>
            </wp:positionV>
            <wp:extent cx="34544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40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CRONOS GROUP INC.</w:t>
      </w:r>
    </w:p>
    <w:p>
      <w:pPr>
        <w:spacing w:after="0" w:line="4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1822450</wp:posOffset>
            </wp:positionH>
            <wp:positionV relativeFrom="paragraph">
              <wp:posOffset>61595</wp:posOffset>
            </wp:positionV>
            <wp:extent cx="35058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505835" cy="8255"/>
                    </a:xfrm>
                    <a:prstGeom prst="rect">
                      <a:avLst/>
                    </a:prstGeom>
                    <a:noFill/>
                  </pic:spPr>
                </pic:pic>
              </a:graphicData>
            </a:graphic>
          </wp:anchor>
        </w:drawing>
      </w:r>
    </w:p>
    <w:p>
      <w:pPr>
        <w:sectPr>
          <w:pgSz w:w="11900" w:h="16838" w:orient="portrait"/>
          <w:cols w:equalWidth="0" w:num="1">
            <w:col w:w="11260"/>
          </w:cols>
          <w:pgMar w:left="320" w:top="1235" w:right="319" w:bottom="1440" w:gutter="0" w:footer="0" w:header="0"/>
        </w:sectPr>
      </w:pPr>
    </w:p>
    <w:p>
      <w:pPr>
        <w:spacing w:after="0" w:line="236" w:lineRule="exact"/>
        <w:rPr>
          <w:sz w:val="24"/>
          <w:szCs w:val="24"/>
          <w:color w:val="auto"/>
        </w:rPr>
      </w:pPr>
    </w:p>
    <w:p>
      <w:pPr>
        <w:ind w:left="840"/>
        <w:spacing w:after="0"/>
        <w:rPr>
          <w:sz w:val="20"/>
          <w:szCs w:val="20"/>
          <w:color w:val="auto"/>
        </w:rPr>
      </w:pPr>
      <w:r>
        <w:rPr>
          <w:rFonts w:ascii="Times New Roman" w:cs="Times New Roman" w:eastAsia="Times New Roman" w:hAnsi="Times New Roman"/>
          <w:sz w:val="17"/>
          <w:szCs w:val="17"/>
          <w:b w:val="1"/>
          <w:bCs w:val="1"/>
          <w:color w:val="auto"/>
        </w:rPr>
        <w:t>British Columbia, Canada</w:t>
      </w:r>
    </w:p>
    <w:p>
      <w:pPr>
        <w:spacing w:after="0" w:line="20" w:lineRule="exact"/>
        <w:rPr>
          <w:sz w:val="24"/>
          <w:szCs w:val="24"/>
          <w:color w:val="auto"/>
        </w:rPr>
      </w:pPr>
      <w:r>
        <w:rPr>
          <w:sz w:val="24"/>
          <w:szCs w:val="24"/>
          <w:color w:val="auto"/>
        </w:rPr>
        <w:br w:type="column"/>
      </w:r>
    </w:p>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001-38403</w:t>
      </w:r>
    </w:p>
    <w:p>
      <w:pPr>
        <w:spacing w:after="0" w:line="20" w:lineRule="exact"/>
        <w:rPr>
          <w:sz w:val="24"/>
          <w:szCs w:val="24"/>
          <w:color w:val="auto"/>
        </w:rPr>
      </w:pPr>
      <w:r>
        <w:rPr>
          <w:sz w:val="24"/>
          <w:szCs w:val="24"/>
          <w:color w:val="auto"/>
        </w:rPr>
        <w:br w:type="column"/>
      </w:r>
    </w:p>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67" w:lineRule="exact"/>
        <w:rPr>
          <w:sz w:val="24"/>
          <w:szCs w:val="24"/>
          <w:color w:val="auto"/>
        </w:rPr>
      </w:pPr>
    </w:p>
    <w:p>
      <w:pPr>
        <w:sectPr>
          <w:pgSz w:w="11900" w:h="16838" w:orient="portrait"/>
          <w:cols w:equalWidth="0" w:num="3">
            <w:col w:w="4420" w:space="720"/>
            <w:col w:w="3300" w:space="720"/>
            <w:col w:w="2100"/>
          </w:cols>
          <w:pgMar w:left="320" w:top="1235" w:right="319" w:bottom="1440" w:gutter="0" w:footer="0" w:header="0"/>
          <w:type w:val="continuous"/>
        </w:sectPr>
      </w:pPr>
    </w:p>
    <w:p>
      <w:pPr>
        <w:jc w:val="center"/>
        <w:ind w:right="62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63"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7"/>
          <w:szCs w:val="17"/>
          <w:color w:val="auto"/>
        </w:rPr>
        <w:t>(Commission</w:t>
      </w:r>
    </w:p>
    <w:p>
      <w:pPr>
        <w:spacing w:after="0" w:line="7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8"/>
          <w:szCs w:val="18"/>
          <w:color w:val="auto"/>
        </w:rPr>
        <w:t>(I.R.S. Employer</w:t>
      </w:r>
    </w:p>
    <w:p>
      <w:pPr>
        <w:spacing w:after="0" w:line="6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185" w:lineRule="exact"/>
        <w:rPr>
          <w:sz w:val="24"/>
          <w:szCs w:val="24"/>
          <w:color w:val="auto"/>
        </w:rPr>
      </w:pPr>
    </w:p>
    <w:p>
      <w:pPr>
        <w:sectPr>
          <w:pgSz w:w="11900" w:h="16838" w:orient="portrait"/>
          <w:cols w:equalWidth="0" w:num="3">
            <w:col w:w="4320" w:space="720"/>
            <w:col w:w="2880" w:space="720"/>
            <w:col w:w="2620"/>
          </w:cols>
          <w:pgMar w:left="320" w:top="1235" w:right="319" w:bottom="1440" w:gutter="0" w:footer="0" w:header="0"/>
          <w:type w:val="continuous"/>
        </w:sectPr>
      </w:pPr>
    </w:p>
    <w:p>
      <w:pPr>
        <w:jc w:val="center"/>
        <w:ind w:right="3160"/>
        <w:spacing w:after="0"/>
        <w:rPr>
          <w:sz w:val="20"/>
          <w:szCs w:val="20"/>
          <w:color w:val="auto"/>
        </w:rPr>
      </w:pPr>
      <w:r>
        <w:rPr>
          <w:rFonts w:ascii="Times New Roman" w:cs="Times New Roman" w:eastAsia="Times New Roman" w:hAnsi="Times New Roman"/>
          <w:sz w:val="16"/>
          <w:szCs w:val="16"/>
          <w:b w:val="1"/>
          <w:bCs w:val="1"/>
          <w:color w:val="auto"/>
        </w:rPr>
        <w:t>4491 Concession Rd 12</w:t>
      </w:r>
    </w:p>
    <w:p>
      <w:pPr>
        <w:spacing w:after="0" w:line="32" w:lineRule="exact"/>
        <w:rPr>
          <w:sz w:val="24"/>
          <w:szCs w:val="24"/>
          <w:color w:val="auto"/>
        </w:rPr>
      </w:pPr>
    </w:p>
    <w:p>
      <w:pPr>
        <w:jc w:val="center"/>
        <w:ind w:right="3160"/>
        <w:spacing w:after="0"/>
        <w:rPr>
          <w:sz w:val="20"/>
          <w:szCs w:val="20"/>
          <w:color w:val="auto"/>
        </w:rPr>
      </w:pPr>
      <w:r>
        <w:rPr>
          <w:rFonts w:ascii="Times New Roman" w:cs="Times New Roman" w:eastAsia="Times New Roman" w:hAnsi="Times New Roman"/>
          <w:sz w:val="16"/>
          <w:szCs w:val="16"/>
          <w:b w:val="1"/>
          <w:bCs w:val="1"/>
          <w:color w:val="auto"/>
        </w:rPr>
        <w:t>Stayner, Ontario</w:t>
      </w:r>
    </w:p>
    <w:p>
      <w:pPr>
        <w:spacing w:after="0" w:line="34" w:lineRule="exact"/>
        <w:rPr>
          <w:sz w:val="24"/>
          <w:szCs w:val="24"/>
          <w:color w:val="auto"/>
        </w:rPr>
      </w:pPr>
    </w:p>
    <w:p>
      <w:pPr>
        <w:jc w:val="center"/>
        <w:ind w:right="3160"/>
        <w:spacing w:after="0"/>
        <w:rPr>
          <w:sz w:val="20"/>
          <w:szCs w:val="20"/>
          <w:color w:val="auto"/>
        </w:rPr>
      </w:pPr>
      <w:r>
        <w:rPr>
          <w:rFonts w:ascii="Times New Roman" w:cs="Times New Roman" w:eastAsia="Times New Roman" w:hAnsi="Times New Roman"/>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L0M 1S0</w:t>
      </w:r>
    </w:p>
    <w:p>
      <w:pPr>
        <w:spacing w:after="0" w:line="3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(Zip Code)</w:t>
      </w:r>
    </w:p>
    <w:p>
      <w:pPr>
        <w:spacing w:after="0" w:line="200" w:lineRule="exact"/>
        <w:rPr>
          <w:sz w:val="24"/>
          <w:szCs w:val="24"/>
          <w:color w:val="auto"/>
        </w:rPr>
      </w:pPr>
    </w:p>
    <w:p>
      <w:pPr>
        <w:sectPr>
          <w:pgSz w:w="11900" w:h="16838" w:orient="portrait"/>
          <w:cols w:equalWidth="0" w:num="2">
            <w:col w:w="7900" w:space="720"/>
            <w:col w:w="2640"/>
          </w:cols>
          <w:pgMar w:left="320" w:top="1235" w:right="319" w:bottom="1440" w:gutter="0" w:footer="0" w:header="0"/>
          <w:type w:val="continuous"/>
        </w:sectPr>
      </w:pPr>
    </w:p>
    <w:p>
      <w:pPr>
        <w:spacing w:after="0" w:line="14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(416) 504-0004</w:t>
      </w:r>
    </w:p>
    <w:p>
      <w:pPr>
        <w:spacing w:after="0" w:line="27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2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1822450</wp:posOffset>
            </wp:positionH>
            <wp:positionV relativeFrom="paragraph">
              <wp:posOffset>193040</wp:posOffset>
            </wp:positionV>
            <wp:extent cx="35058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05835" cy="8255"/>
                    </a:xfrm>
                    <a:prstGeom prst="rect">
                      <a:avLst/>
                    </a:prstGeom>
                    <a:noFill/>
                  </pic:spPr>
                </pic:pic>
              </a:graphicData>
            </a:graphic>
          </wp:anchor>
        </w:drawing>
      </w:r>
    </w:p>
    <w:p>
      <w:pPr>
        <w:spacing w:after="0" w:line="200" w:lineRule="exact"/>
        <w:rPr>
          <w:sz w:val="24"/>
          <w:szCs w:val="24"/>
          <w:color w:val="auto"/>
        </w:rPr>
      </w:pPr>
    </w:p>
    <w:p>
      <w:pPr>
        <w:spacing w:after="0" w:line="39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59" w:lineRule="exact"/>
        <w:rPr>
          <w:sz w:val="24"/>
          <w:szCs w:val="24"/>
          <w:color w:val="auto"/>
        </w:rPr>
      </w:pPr>
    </w:p>
    <w:p>
      <w:pPr>
        <w:ind w:left="320" w:hanging="312"/>
        <w:spacing w:after="0"/>
        <w:tabs>
          <w:tab w:leader="none" w:pos="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72" w:lineRule="exact"/>
        <w:rPr>
          <w:rFonts w:ascii="MS PGothic" w:cs="MS PGothic" w:eastAsia="MS PGothic" w:hAnsi="MS PGothic"/>
          <w:sz w:val="16"/>
          <w:szCs w:val="16"/>
          <w:color w:val="auto"/>
        </w:rPr>
      </w:pPr>
    </w:p>
    <w:p>
      <w:pPr>
        <w:ind w:left="320" w:hanging="312"/>
        <w:spacing w:after="0"/>
        <w:tabs>
          <w:tab w:leader="none" w:pos="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59" w:lineRule="exact"/>
        <w:rPr>
          <w:rFonts w:ascii="MS PGothic" w:cs="MS PGothic" w:eastAsia="MS PGothic" w:hAnsi="MS PGothic"/>
          <w:sz w:val="16"/>
          <w:szCs w:val="16"/>
          <w:color w:val="auto"/>
        </w:rPr>
      </w:pPr>
    </w:p>
    <w:p>
      <w:pPr>
        <w:ind w:left="320" w:hanging="312"/>
        <w:spacing w:after="0"/>
        <w:tabs>
          <w:tab w:leader="none" w:pos="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59" w:lineRule="exact"/>
        <w:rPr>
          <w:rFonts w:ascii="MS PGothic" w:cs="MS PGothic" w:eastAsia="MS PGothic" w:hAnsi="MS PGothic"/>
          <w:sz w:val="16"/>
          <w:szCs w:val="16"/>
          <w:color w:val="auto"/>
        </w:rPr>
      </w:pPr>
    </w:p>
    <w:p>
      <w:pPr>
        <w:ind w:left="320" w:hanging="312"/>
        <w:spacing w:after="0"/>
        <w:tabs>
          <w:tab w:leader="none" w:pos="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26" w:lineRule="exact"/>
        <w:rPr>
          <w:sz w:val="24"/>
          <w:szCs w:val="24"/>
          <w:color w:val="auto"/>
        </w:rPr>
      </w:pPr>
    </w:p>
    <w:tbl>
      <w:tblPr>
        <w:tblLayout w:type="fixed"/>
        <w:tblInd w:w="10" w:type="dxa"/>
        <w:tblCellMar>
          <w:top w:w="0" w:type="dxa"/>
          <w:left w:w="0" w:type="dxa"/>
          <w:bottom w:w="0" w:type="dxa"/>
          <w:right w:w="0" w:type="dxa"/>
        </w:tblCellMar>
      </w:tblPr>
      <w:tr>
        <w:trPr>
          <w:trHeight w:val="250"/>
        </w:trPr>
        <w:tc>
          <w:tcPr>
            <w:tcW w:w="37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Trading Symbol(s)</w:t>
            </w:r>
          </w:p>
        </w:tc>
        <w:tc>
          <w:tcPr>
            <w:tcW w:w="37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231F20"/>
              </w:rPr>
              <w:t>Name of each exchange on which registered</w:t>
            </w:r>
          </w:p>
        </w:tc>
      </w:tr>
      <w:tr>
        <w:trPr>
          <w:trHeight w:val="213"/>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Shares, no par value</w:t>
            </w: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CRON</w:t>
            </w:r>
          </w:p>
        </w:tc>
        <w:tc>
          <w:tcPr>
            <w:tcW w:w="3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bl>
    <w:p>
      <w:pPr>
        <w:spacing w:after="0" w:line="328" w:lineRule="exact"/>
        <w:rPr>
          <w:sz w:val="24"/>
          <w:szCs w:val="24"/>
          <w:color w:val="auto"/>
        </w:rPr>
      </w:pPr>
    </w:p>
    <w:p>
      <w:pPr>
        <w:ind w:left="100" w:right="280"/>
        <w:spacing w:after="0" w:line="271" w:lineRule="auto"/>
        <w:rPr>
          <w:sz w:val="20"/>
          <w:szCs w:val="20"/>
          <w:color w:val="auto"/>
        </w:rPr>
      </w:pPr>
      <w:r>
        <w:rPr>
          <w:rFonts w:ascii="Times New Roman" w:cs="Times New Roman" w:eastAsia="Times New Roman" w:hAnsi="Times New Roman"/>
          <w:sz w:val="14"/>
          <w:szCs w:val="14"/>
          <w:color w:val="231F20"/>
        </w:rPr>
        <w:t>Indicate by check mark whether the registrant is an emerging growth company as defined in Rule 405 of the Securities Act of 1933 (§230.405 of this chapter) or Rule 12b-2 of the Securities Exchange Act of 1934 (§240.12b-2 of this chapter).</w:t>
      </w:r>
    </w:p>
    <w:p>
      <w:pPr>
        <w:jc w:val="right"/>
        <w:ind w:right="20"/>
        <w:spacing w:after="0" w:line="184" w:lineRule="exact"/>
        <w:rPr>
          <w:sz w:val="20"/>
          <w:szCs w:val="20"/>
          <w:color w:val="auto"/>
        </w:rPr>
      </w:pPr>
      <w:r>
        <w:rPr>
          <w:rFonts w:ascii="Times New Roman" w:cs="Times New Roman" w:eastAsia="Times New Roman" w:hAnsi="Times New Roman"/>
          <w:sz w:val="14"/>
          <w:szCs w:val="14"/>
          <w:color w:val="231F20"/>
        </w:rPr>
        <w:t xml:space="preserve">Emerging growth company </w:t>
      </w:r>
      <w:r>
        <w:rPr>
          <w:rFonts w:ascii="MS PGothic" w:cs="MS PGothic" w:eastAsia="MS PGothic" w:hAnsi="MS PGothic"/>
          <w:sz w:val="16"/>
          <w:szCs w:val="16"/>
          <w:color w:val="000000"/>
        </w:rPr>
        <w:t>☐</w:t>
      </w:r>
    </w:p>
    <w:p>
      <w:pPr>
        <w:spacing w:after="0" w:line="249" w:lineRule="exact"/>
        <w:rPr>
          <w:sz w:val="24"/>
          <w:szCs w:val="24"/>
          <w:color w:val="auto"/>
        </w:rPr>
      </w:pPr>
    </w:p>
    <w:p>
      <w:pPr>
        <w:ind w:left="80" w:right="500"/>
        <w:spacing w:after="0" w:line="193" w:lineRule="exact"/>
        <w:rPr>
          <w:sz w:val="20"/>
          <w:szCs w:val="20"/>
          <w:color w:val="auto"/>
        </w:rPr>
      </w:pPr>
      <w:r>
        <w:rPr>
          <w:rFonts w:ascii="Times New Roman" w:cs="Times New Roman" w:eastAsia="Times New Roman" w:hAnsi="Times New Roman"/>
          <w:sz w:val="14"/>
          <w:szCs w:val="14"/>
          <w:color w:val="231F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231F20"/>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460375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35" w:right="319" w:bottom="1440" w:gutter="0" w:footer="0" w:header="0"/>
          <w:type w:val="continuous"/>
        </w:sectPr>
      </w:pPr>
    </w:p>
    <w:bookmarkStart w:id="1" w:name="page2"/>
    <w:bookmarkEnd w:id="1"/>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Cronos Group Inc. (the “Company”) held its 2026 Annual Meeting of Shareholders on June 18, 2026 (the “Meeting”). The proposals voted upon at the Meeting and the final results of the shareholder vote on each proposal are set forth below. Each of the proposals is summarized in greater detail in the Company’s definitive proxy statement on Schedule 14A filed with the U.S. Securities and Exchange Commission on April 24, 2026 (the “Proxy Statement”).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Proposal No. 1: </w:t>
      </w:r>
      <w:r>
        <w:rPr>
          <w:rFonts w:ascii="Times New Roman" w:cs="Times New Roman" w:eastAsia="Times New Roman" w:hAnsi="Times New Roman"/>
          <w:sz w:val="18"/>
          <w:szCs w:val="18"/>
          <w:color w:val="auto"/>
        </w:rPr>
        <w:t>Election of Directors</w:t>
      </w:r>
    </w:p>
    <w:p>
      <w:pPr>
        <w:spacing w:after="0" w:line="266"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 of Nominee</w:t>
            </w:r>
          </w:p>
        </w:tc>
        <w:tc>
          <w:tcPr>
            <w:tcW w:w="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For</w:t>
            </w:r>
          </w:p>
        </w:tc>
        <w:tc>
          <w:tcPr>
            <w:tcW w:w="1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Withheld</w:t>
            </w:r>
          </w:p>
        </w:tc>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6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18"/>
        </w:trPr>
        <w:tc>
          <w:tcPr>
            <w:tcW w:w="22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Jason Adler</w:t>
            </w:r>
          </w:p>
        </w:tc>
        <w:tc>
          <w:tcPr>
            <w:tcW w:w="24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220,505,353</w:t>
            </w:r>
          </w:p>
        </w:tc>
        <w:tc>
          <w:tcPr>
            <w:tcW w:w="24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1,291,292</w:t>
            </w:r>
          </w:p>
        </w:tc>
        <w:tc>
          <w:tcPr>
            <w:tcW w:w="240" w:type="dxa"/>
            <w:vAlign w:val="bottom"/>
          </w:tcPr>
          <w:p>
            <w:pPr>
              <w:spacing w:after="0"/>
              <w:rPr>
                <w:sz w:val="18"/>
                <w:szCs w:val="18"/>
                <w:color w:val="auto"/>
              </w:rPr>
            </w:pPr>
          </w:p>
        </w:tc>
        <w:tc>
          <w:tcPr>
            <w:tcW w:w="2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50,032,114</w:t>
            </w:r>
          </w:p>
        </w:tc>
      </w:tr>
      <w:tr>
        <w:trPr>
          <w:trHeight w:val="229"/>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Darren Broughton</w:t>
            </w:r>
          </w:p>
        </w:tc>
        <w:tc>
          <w:tcPr>
            <w:tcW w:w="8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220,506,387</w:t>
            </w: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1,290,258</w:t>
            </w:r>
          </w:p>
        </w:tc>
        <w:tc>
          <w:tcPr>
            <w:tcW w:w="24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50,032,114</w:t>
            </w:r>
          </w:p>
        </w:tc>
      </w:tr>
      <w:tr>
        <w:trPr>
          <w:trHeight w:val="229"/>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Murray Garnick</w:t>
            </w:r>
          </w:p>
        </w:tc>
        <w:tc>
          <w:tcPr>
            <w:tcW w:w="8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219,627,749</w:t>
            </w: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2,168,896</w:t>
            </w:r>
          </w:p>
        </w:tc>
        <w:tc>
          <w:tcPr>
            <w:tcW w:w="24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50,032,114</w:t>
            </w:r>
          </w:p>
        </w:tc>
      </w:tr>
      <w:tr>
        <w:trPr>
          <w:trHeight w:val="230"/>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Michael Gorenstein</w:t>
            </w:r>
          </w:p>
        </w:tc>
        <w:tc>
          <w:tcPr>
            <w:tcW w:w="8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207,751,369</w:t>
            </w: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14,045,276</w:t>
            </w:r>
          </w:p>
        </w:tc>
        <w:tc>
          <w:tcPr>
            <w:tcW w:w="24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50,032,114</w:t>
            </w:r>
          </w:p>
        </w:tc>
      </w:tr>
      <w:tr>
        <w:trPr>
          <w:trHeight w:val="229"/>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Dominik Meier</w:t>
            </w:r>
          </w:p>
        </w:tc>
        <w:tc>
          <w:tcPr>
            <w:tcW w:w="8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220,426,444</w:t>
            </w: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1,370,201</w:t>
            </w:r>
          </w:p>
        </w:tc>
        <w:tc>
          <w:tcPr>
            <w:tcW w:w="24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50,032,114</w:t>
            </w:r>
          </w:p>
        </w:tc>
      </w:tr>
      <w:tr>
        <w:trPr>
          <w:trHeight w:val="229"/>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James Rudyk</w:t>
            </w:r>
          </w:p>
        </w:tc>
        <w:tc>
          <w:tcPr>
            <w:tcW w:w="8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216,463,958</w:t>
            </w: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5,332,687</w:t>
            </w:r>
          </w:p>
        </w:tc>
        <w:tc>
          <w:tcPr>
            <w:tcW w:w="24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50,032,114</w:t>
            </w:r>
          </w:p>
        </w:tc>
      </w:tr>
      <w:tr>
        <w:trPr>
          <w:trHeight w:val="234"/>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Elizabeth Seegar</w:t>
            </w:r>
          </w:p>
        </w:tc>
        <w:tc>
          <w:tcPr>
            <w:tcW w:w="8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220,476,757</w:t>
            </w: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1,319,888</w:t>
            </w:r>
          </w:p>
        </w:tc>
        <w:tc>
          <w:tcPr>
            <w:tcW w:w="240" w:type="dxa"/>
            <w:vAlign w:val="bottom"/>
          </w:tcPr>
          <w:p>
            <w:pPr>
              <w:spacing w:after="0"/>
              <w:rPr>
                <w:sz w:val="20"/>
                <w:szCs w:val="20"/>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50,032,114</w:t>
            </w:r>
          </w:p>
        </w:tc>
      </w:tr>
    </w:tbl>
    <w:p>
      <w:pPr>
        <w:spacing w:after="0" w:line="2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Proposal No. 2: </w:t>
      </w:r>
      <w:r>
        <w:rPr>
          <w:rFonts w:ascii="Times New Roman" w:cs="Times New Roman" w:eastAsia="Times New Roman" w:hAnsi="Times New Roman"/>
          <w:sz w:val="18"/>
          <w:szCs w:val="18"/>
          <w:color w:val="auto"/>
        </w:rPr>
        <w:t>Adoption of an advisory (non-binding) resolution to approve the compensation of the Company’s named executive officers</w:t>
      </w:r>
    </w:p>
    <w:p>
      <w:pPr>
        <w:spacing w:after="0" w:line="266"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For</w:t>
            </w:r>
          </w:p>
        </w:tc>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Abstained</w:t>
            </w:r>
          </w:p>
        </w:tc>
        <w:tc>
          <w:tcPr>
            <w:tcW w:w="226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28"/>
        </w:trPr>
        <w:tc>
          <w:tcPr>
            <w:tcW w:w="2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219,776,593</w:t>
            </w:r>
          </w:p>
        </w:tc>
        <w:tc>
          <w:tcPr>
            <w:tcW w:w="240" w:type="dxa"/>
            <w:vAlign w:val="bottom"/>
          </w:tcPr>
          <w:p>
            <w:pPr>
              <w:spacing w:after="0"/>
              <w:rPr>
                <w:sz w:val="19"/>
                <w:szCs w:val="19"/>
                <w:color w:val="auto"/>
              </w:rPr>
            </w:pPr>
          </w:p>
        </w:tc>
        <w:tc>
          <w:tcPr>
            <w:tcW w:w="2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1,624,630</w:t>
            </w:r>
          </w:p>
        </w:tc>
        <w:tc>
          <w:tcPr>
            <w:tcW w:w="240" w:type="dxa"/>
            <w:vAlign w:val="bottom"/>
          </w:tcPr>
          <w:p>
            <w:pPr>
              <w:spacing w:after="0"/>
              <w:rPr>
                <w:sz w:val="19"/>
                <w:szCs w:val="19"/>
                <w:color w:val="auto"/>
              </w:rPr>
            </w:pPr>
          </w:p>
        </w:tc>
        <w:tc>
          <w:tcPr>
            <w:tcW w:w="2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395,422</w:t>
            </w:r>
          </w:p>
        </w:tc>
        <w:tc>
          <w:tcPr>
            <w:tcW w:w="240" w:type="dxa"/>
            <w:vAlign w:val="bottom"/>
          </w:tcPr>
          <w:p>
            <w:pPr>
              <w:spacing w:after="0"/>
              <w:rPr>
                <w:sz w:val="19"/>
                <w:szCs w:val="19"/>
                <w:color w:val="auto"/>
              </w:rPr>
            </w:pPr>
          </w:p>
        </w:tc>
        <w:tc>
          <w:tcPr>
            <w:tcW w:w="2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50,032,114</w:t>
            </w:r>
          </w:p>
        </w:tc>
      </w:tr>
    </w:tbl>
    <w:p>
      <w:pPr>
        <w:spacing w:after="0" w:line="270" w:lineRule="exact"/>
        <w:rPr>
          <w:sz w:val="20"/>
          <w:szCs w:val="20"/>
          <w:color w:val="auto"/>
        </w:rPr>
      </w:pPr>
    </w:p>
    <w:p>
      <w:pPr>
        <w:jc w:val="both"/>
        <w:ind w:left="660"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Proposal No. 3: </w:t>
      </w:r>
      <w:r>
        <w:rPr>
          <w:rFonts w:ascii="Times New Roman" w:cs="Times New Roman" w:eastAsia="Times New Roman" w:hAnsi="Times New Roman"/>
          <w:sz w:val="18"/>
          <w:szCs w:val="18"/>
          <w:color w:val="auto"/>
        </w:rPr>
        <w:t>Adoption of an advisory (non-binding) resolution on the frequency of future “say on pay” votes as described in the Proxy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Statement</w:t>
      </w:r>
    </w:p>
    <w:p>
      <w:pPr>
        <w:spacing w:after="0" w:line="195"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One Year</w:t>
            </w:r>
          </w:p>
        </w:tc>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Two Years</w:t>
            </w:r>
          </w:p>
        </w:tc>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Three Years</w:t>
            </w:r>
          </w:p>
        </w:tc>
        <w:tc>
          <w:tcPr>
            <w:tcW w:w="2260" w:type="dxa"/>
            <w:vAlign w:val="bottom"/>
          </w:tcPr>
          <w:p>
            <w:pPr>
              <w:jc w:val="right"/>
              <w:ind w:right="1550"/>
              <w:spacing w:after="0"/>
              <w:rPr>
                <w:sz w:val="20"/>
                <w:szCs w:val="20"/>
                <w:color w:val="auto"/>
              </w:rPr>
            </w:pPr>
            <w:r>
              <w:rPr>
                <w:rFonts w:ascii="Times New Roman" w:cs="Times New Roman" w:eastAsia="Times New Roman" w:hAnsi="Times New Roman"/>
                <w:sz w:val="18"/>
                <w:szCs w:val="18"/>
                <w:b w:val="1"/>
                <w:bCs w:val="1"/>
                <w:color w:val="auto"/>
                <w:w w:val="99"/>
              </w:rPr>
              <w:t>Abstain</w:t>
            </w:r>
          </w:p>
        </w:tc>
      </w:tr>
      <w:tr>
        <w:trPr>
          <w:trHeight w:val="228"/>
        </w:trPr>
        <w:tc>
          <w:tcPr>
            <w:tcW w:w="2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207,874,325</w:t>
            </w:r>
          </w:p>
        </w:tc>
        <w:tc>
          <w:tcPr>
            <w:tcW w:w="240" w:type="dxa"/>
            <w:vAlign w:val="bottom"/>
          </w:tcPr>
          <w:p>
            <w:pPr>
              <w:spacing w:after="0"/>
              <w:rPr>
                <w:sz w:val="19"/>
                <w:szCs w:val="19"/>
                <w:color w:val="auto"/>
              </w:rPr>
            </w:pPr>
          </w:p>
        </w:tc>
        <w:tc>
          <w:tcPr>
            <w:tcW w:w="2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108,955</w:t>
            </w:r>
          </w:p>
        </w:tc>
        <w:tc>
          <w:tcPr>
            <w:tcW w:w="240" w:type="dxa"/>
            <w:vAlign w:val="bottom"/>
          </w:tcPr>
          <w:p>
            <w:pPr>
              <w:spacing w:after="0"/>
              <w:rPr>
                <w:sz w:val="19"/>
                <w:szCs w:val="19"/>
                <w:color w:val="auto"/>
              </w:rPr>
            </w:pPr>
          </w:p>
        </w:tc>
        <w:tc>
          <w:tcPr>
            <w:tcW w:w="2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3,074,365</w:t>
            </w:r>
          </w:p>
        </w:tc>
        <w:tc>
          <w:tcPr>
            <w:tcW w:w="240" w:type="dxa"/>
            <w:vAlign w:val="bottom"/>
          </w:tcPr>
          <w:p>
            <w:pPr>
              <w:spacing w:after="0"/>
              <w:rPr>
                <w:sz w:val="19"/>
                <w:szCs w:val="19"/>
                <w:color w:val="auto"/>
              </w:rPr>
            </w:pPr>
          </w:p>
        </w:tc>
        <w:tc>
          <w:tcPr>
            <w:tcW w:w="2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10,739,000</w:t>
            </w:r>
          </w:p>
        </w:tc>
      </w:tr>
    </w:tbl>
    <w:p>
      <w:pPr>
        <w:spacing w:after="0" w:line="283" w:lineRule="exact"/>
        <w:rPr>
          <w:sz w:val="20"/>
          <w:szCs w:val="20"/>
          <w:color w:val="auto"/>
        </w:rPr>
      </w:pPr>
    </w:p>
    <w:p>
      <w:pPr>
        <w:jc w:val="both"/>
        <w:ind w:left="6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Proposal No. 4: </w:t>
      </w:r>
      <w:r>
        <w:rPr>
          <w:rFonts w:ascii="Times New Roman" w:cs="Times New Roman" w:eastAsia="Times New Roman" w:hAnsi="Times New Roman"/>
          <w:sz w:val="18"/>
          <w:szCs w:val="18"/>
          <w:color w:val="auto"/>
        </w:rPr>
        <w:t>Appointment of Davidson &amp; Company LLP, the Company’s independent registered public accounting firm, to serve as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Company’s independent auditor for fiscal year 2026 and to authorize the Board of Directors of the Company to fix the independent auditors’ remuneration</w:t>
      </w:r>
    </w:p>
    <w:p>
      <w:pPr>
        <w:spacing w:after="0" w:line="211" w:lineRule="exact"/>
        <w:rPr>
          <w:sz w:val="20"/>
          <w:szCs w:val="20"/>
          <w:color w:val="auto"/>
        </w:rPr>
      </w:pPr>
    </w:p>
    <w:p>
      <w:pPr>
        <w:ind w:left="680"/>
        <w:spacing w:after="0"/>
        <w:tabs>
          <w:tab w:leader="none" w:pos="3160" w:val="left"/>
        </w:tabs>
        <w:rPr>
          <w:sz w:val="20"/>
          <w:szCs w:val="20"/>
          <w:color w:val="auto"/>
        </w:rPr>
      </w:pPr>
      <w:r>
        <w:rPr>
          <w:rFonts w:ascii="Times New Roman" w:cs="Times New Roman" w:eastAsia="Times New Roman" w:hAnsi="Times New Roman"/>
          <w:sz w:val="18"/>
          <w:szCs w:val="18"/>
          <w:b w:val="1"/>
          <w:bCs w:val="1"/>
          <w:color w:val="auto"/>
        </w:rPr>
        <w:t>For</w:t>
      </w:r>
      <w:r>
        <w:rPr>
          <w:sz w:val="20"/>
          <w:szCs w:val="20"/>
          <w:color w:val="auto"/>
        </w:rPr>
        <w:tab/>
      </w:r>
      <w:r>
        <w:rPr>
          <w:rFonts w:ascii="Times New Roman" w:cs="Times New Roman" w:eastAsia="Times New Roman" w:hAnsi="Times New Roman"/>
          <w:sz w:val="18"/>
          <w:szCs w:val="18"/>
          <w:b w:val="1"/>
          <w:bCs w:val="1"/>
          <w:color w:val="auto"/>
        </w:rPr>
        <w:t>Withheld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19685</wp:posOffset>
            </wp:positionV>
            <wp:extent cx="30257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025775" cy="8255"/>
                    </a:xfrm>
                    <a:prstGeom prst="rect">
                      <a:avLst/>
                    </a:prstGeom>
                    <a:noFill/>
                  </pic:spPr>
                </pic:pic>
              </a:graphicData>
            </a:graphic>
          </wp:anchor>
        </w:drawing>
      </w:r>
    </w:p>
    <w:p>
      <w:pPr>
        <w:spacing w:after="0" w:line="20" w:lineRule="exact"/>
        <w:rPr>
          <w:sz w:val="20"/>
          <w:szCs w:val="20"/>
          <w:color w:val="auto"/>
        </w:rPr>
      </w:pPr>
    </w:p>
    <w:p>
      <w:pPr>
        <w:ind w:left="1960"/>
        <w:spacing w:after="0"/>
        <w:tabs>
          <w:tab w:leader="none" w:pos="4600" w:val="left"/>
        </w:tabs>
        <w:rPr>
          <w:sz w:val="20"/>
          <w:szCs w:val="20"/>
          <w:color w:val="auto"/>
        </w:rPr>
      </w:pPr>
      <w:r>
        <w:rPr>
          <w:rFonts w:ascii="Times New Roman" w:cs="Times New Roman" w:eastAsia="Times New Roman" w:hAnsi="Times New Roman"/>
          <w:sz w:val="18"/>
          <w:szCs w:val="18"/>
          <w:color w:val="auto"/>
        </w:rPr>
        <w:t>268,504,336</w:t>
      </w:r>
      <w:r>
        <w:rPr>
          <w:sz w:val="20"/>
          <w:szCs w:val="20"/>
          <w:color w:val="auto"/>
        </w:rPr>
        <w:tab/>
      </w:r>
      <w:r>
        <w:rPr>
          <w:rFonts w:ascii="Times New Roman" w:cs="Times New Roman" w:eastAsia="Times New Roman" w:hAnsi="Times New Roman"/>
          <w:sz w:val="18"/>
          <w:szCs w:val="18"/>
          <w:color w:val="auto"/>
        </w:rPr>
        <w:t>3,324,423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70"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520" w:type="dxa"/>
            <w:vAlign w:val="bottom"/>
          </w:tcPr>
          <w:p>
            <w:pPr>
              <w:spacing w:after="0"/>
              <w:rPr>
                <w:sz w:val="20"/>
                <w:szCs w:val="20"/>
                <w:color w:val="auto"/>
              </w:rPr>
            </w:pPr>
          </w:p>
        </w:tc>
        <w:tc>
          <w:tcPr>
            <w:tcW w:w="7700" w:type="dxa"/>
            <w:vAlign w:val="bottom"/>
            <w:gridSpan w:val="2"/>
          </w:tcPr>
          <w:p>
            <w:pPr>
              <w:ind w:left="1980"/>
              <w:spacing w:after="0"/>
              <w:rPr>
                <w:sz w:val="20"/>
                <w:szCs w:val="20"/>
                <w:color w:val="auto"/>
              </w:rPr>
            </w:pPr>
            <w:r>
              <w:rPr>
                <w:rFonts w:ascii="Times New Roman" w:cs="Times New Roman" w:eastAsia="Times New Roman" w:hAnsi="Times New Roman"/>
                <w:sz w:val="18"/>
                <w:szCs w:val="18"/>
                <w:b w:val="1"/>
                <w:bCs w:val="1"/>
                <w:color w:val="auto"/>
              </w:rPr>
              <w:t>CRONOS GROUP INC.</w:t>
            </w:r>
          </w:p>
        </w:tc>
      </w:tr>
      <w:tr>
        <w:trPr>
          <w:trHeight w:val="769"/>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Dated: June 22, 2026</w:t>
            </w:r>
          </w:p>
        </w:tc>
        <w:tc>
          <w:tcPr>
            <w:tcW w:w="260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By:</w:t>
            </w:r>
          </w:p>
        </w:tc>
        <w:tc>
          <w:tcPr>
            <w:tcW w:w="5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Michael Gorenstein</w:t>
            </w:r>
          </w:p>
        </w:tc>
      </w:tr>
      <w:tr>
        <w:trPr>
          <w:trHeight w:val="218"/>
        </w:trPr>
        <w:tc>
          <w:tcPr>
            <w:tcW w:w="35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 Michael Gorenstein</w:t>
            </w:r>
          </w:p>
        </w:tc>
      </w:tr>
      <w:tr>
        <w:trPr>
          <w:trHeight w:val="234"/>
        </w:trPr>
        <w:tc>
          <w:tcPr>
            <w:tcW w:w="35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 President and Chief Executive Officer</w:t>
            </w:r>
          </w:p>
        </w:tc>
      </w:tr>
    </w:tbl>
    <w:p>
      <w:pPr>
        <w:spacing w:after="0" w:line="1" w:lineRule="exact"/>
        <w:rPr>
          <w:sz w:val="20"/>
          <w:szCs w:val="20"/>
          <w:color w:val="auto"/>
        </w:rPr>
      </w:pP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2026-06-22T16:32:11Z</dcterms:created>
  <dcterms:modified xsi:type="dcterms:W3CDTF">2026-06-22T16:32:11Z</dcterms:modified>
</cp:coreProperties>
</file>